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10" w:rsidRDefault="008C5310" w:rsidP="00BF20E3">
      <w:pPr>
        <w:pStyle w:val="NoSpacing"/>
        <w:rPr>
          <w:b/>
        </w:rPr>
      </w:pPr>
    </w:p>
    <w:p w:rsidR="00BF20E3" w:rsidRPr="00BF20E3" w:rsidRDefault="00BF20E3" w:rsidP="00BF20E3">
      <w:pPr>
        <w:pStyle w:val="NoSpacing"/>
        <w:rPr>
          <w:b/>
        </w:rPr>
      </w:pPr>
      <w:r w:rsidRPr="00BF20E3">
        <w:rPr>
          <w:b/>
        </w:rPr>
        <w:t>COMPANY NAME</w:t>
      </w:r>
      <w:r>
        <w:rPr>
          <w:b/>
        </w:rPr>
        <w:tab/>
      </w:r>
      <w:r w:rsidRPr="00BF20E3">
        <w:rPr>
          <w:b/>
        </w:rPr>
        <w:t>: MAA GENERAL ASSURANCE PHILS., INC.</w:t>
      </w:r>
    </w:p>
    <w:p w:rsidR="00BF20E3" w:rsidRPr="00BF20E3" w:rsidRDefault="00BF20E3" w:rsidP="00BF20E3">
      <w:pPr>
        <w:pStyle w:val="NoSpacing"/>
        <w:rPr>
          <w:b/>
        </w:rPr>
      </w:pPr>
      <w:r w:rsidRPr="00BF20E3">
        <w:rPr>
          <w:b/>
        </w:rPr>
        <w:t>FINANCIAL YEAR END</w:t>
      </w:r>
      <w:r>
        <w:rPr>
          <w:b/>
        </w:rPr>
        <w:tab/>
      </w:r>
      <w:r w:rsidRPr="00BF20E3">
        <w:rPr>
          <w:b/>
        </w:rPr>
        <w:t>: 2014</w:t>
      </w:r>
    </w:p>
    <w:p w:rsidR="008C5310" w:rsidRDefault="008C5310" w:rsidP="00BF20E3">
      <w:pPr>
        <w:pStyle w:val="NoSpacing"/>
        <w:rPr>
          <w:b/>
        </w:rPr>
      </w:pPr>
    </w:p>
    <w:p w:rsidR="00BF20E3" w:rsidRPr="00BF20E3" w:rsidRDefault="00BF20E3" w:rsidP="00BF20E3">
      <w:pPr>
        <w:pStyle w:val="NoSpacing"/>
        <w:rPr>
          <w:b/>
        </w:rPr>
      </w:pPr>
      <w:r w:rsidRPr="00BF20E3">
        <w:rPr>
          <w:b/>
        </w:rPr>
        <w:t>SECTOR</w:t>
      </w:r>
      <w:r>
        <w:rPr>
          <w:b/>
        </w:rPr>
        <w:tab/>
      </w:r>
      <w:r>
        <w:rPr>
          <w:b/>
        </w:rPr>
        <w:tab/>
      </w:r>
      <w:r>
        <w:rPr>
          <w:b/>
        </w:rPr>
        <w:tab/>
      </w:r>
      <w:r w:rsidRPr="00BF20E3">
        <w:rPr>
          <w:b/>
        </w:rPr>
        <w:t>: INSURANCE</w:t>
      </w:r>
    </w:p>
    <w:p w:rsidR="00BF20E3" w:rsidRPr="00BF20E3" w:rsidRDefault="00BF20E3" w:rsidP="00BF20E3">
      <w:pPr>
        <w:pStyle w:val="NoSpacing"/>
        <w:rPr>
          <w:b/>
        </w:rPr>
        <w:sectPr w:rsidR="00BF20E3" w:rsidRPr="00BF20E3" w:rsidSect="00652A1A">
          <w:headerReference w:type="default" r:id="rId7"/>
          <w:pgSz w:w="16839" w:h="11907" w:orient="landscape" w:code="9"/>
          <w:pgMar w:top="720" w:right="720" w:bottom="720" w:left="720" w:header="720" w:footer="720" w:gutter="0"/>
          <w:cols w:num="2" w:space="720"/>
          <w:docGrid w:linePitch="360"/>
        </w:sectPr>
      </w:pPr>
      <w:r w:rsidRPr="00BF20E3">
        <w:rPr>
          <w:b/>
        </w:rPr>
        <w:t>COMPANY STRUCTURE</w:t>
      </w:r>
      <w:r>
        <w:rPr>
          <w:b/>
        </w:rPr>
        <w:tab/>
      </w:r>
      <w:r w:rsidRPr="00BF20E3">
        <w:rPr>
          <w:b/>
        </w:rPr>
        <w:t>: CLASS 3</w:t>
      </w:r>
    </w:p>
    <w:p w:rsidR="00BF20E3" w:rsidRDefault="00BF20E3" w:rsidP="00BF20E3">
      <w:pPr>
        <w:pStyle w:val="NoSpacing"/>
      </w:pPr>
    </w:p>
    <w:p w:rsidR="00785844" w:rsidRDefault="002043DA" w:rsidP="000814AA">
      <w:pPr>
        <w:outlineLvl w:val="0"/>
        <w:rPr>
          <w:b/>
          <w:sz w:val="20"/>
          <w:szCs w:val="20"/>
        </w:rPr>
      </w:pPr>
      <w:r w:rsidRPr="007202BF">
        <w:rPr>
          <w:b/>
          <w:sz w:val="20"/>
          <w:szCs w:val="20"/>
        </w:rPr>
        <w:t xml:space="preserve">PART </w:t>
      </w:r>
      <w:r w:rsidR="009120FF">
        <w:rPr>
          <w:b/>
          <w:sz w:val="20"/>
          <w:szCs w:val="20"/>
        </w:rPr>
        <w:t>A</w:t>
      </w:r>
      <w:r w:rsidRPr="007202BF">
        <w:rPr>
          <w:b/>
          <w:sz w:val="20"/>
          <w:szCs w:val="20"/>
        </w:rPr>
        <w:t xml:space="preserve">: </w:t>
      </w:r>
      <w:r w:rsidR="009120FF">
        <w:rPr>
          <w:b/>
          <w:sz w:val="20"/>
          <w:szCs w:val="20"/>
        </w:rPr>
        <w:t>RIGHTS OF SHAREHOLDERS</w:t>
      </w:r>
      <w:r w:rsidR="00286C81">
        <w:rPr>
          <w:b/>
          <w:sz w:val="20"/>
          <w:szCs w:val="20"/>
        </w:rPr>
        <w:t xml:space="preserve"> </w:t>
      </w:r>
    </w:p>
    <w:tbl>
      <w:tblPr>
        <w:tblStyle w:val="TableGrid"/>
        <w:tblW w:w="15400" w:type="dxa"/>
        <w:tblInd w:w="115" w:type="dxa"/>
        <w:tblLayout w:type="fixed"/>
        <w:tblCellMar>
          <w:left w:w="115" w:type="dxa"/>
          <w:right w:w="115" w:type="dxa"/>
        </w:tblCellMar>
        <w:tblLook w:val="04A0"/>
      </w:tblPr>
      <w:tblGrid>
        <w:gridCol w:w="1098"/>
        <w:gridCol w:w="4748"/>
        <w:gridCol w:w="4079"/>
        <w:gridCol w:w="1170"/>
        <w:gridCol w:w="4305"/>
      </w:tblGrid>
      <w:tr w:rsidR="007202BF" w:rsidTr="00652A1A">
        <w:tc>
          <w:tcPr>
            <w:tcW w:w="1098" w:type="dxa"/>
            <w:shd w:val="clear" w:color="auto" w:fill="FFC000"/>
          </w:tcPr>
          <w:p w:rsidR="007202BF" w:rsidRDefault="007202BF" w:rsidP="007202BF">
            <w:pPr>
              <w:jc w:val="center"/>
              <w:rPr>
                <w:b/>
                <w:sz w:val="20"/>
                <w:szCs w:val="20"/>
              </w:rPr>
            </w:pPr>
            <w:r>
              <w:rPr>
                <w:b/>
                <w:sz w:val="20"/>
                <w:szCs w:val="20"/>
              </w:rPr>
              <w:t>ITEM No.</w:t>
            </w:r>
          </w:p>
        </w:tc>
        <w:tc>
          <w:tcPr>
            <w:tcW w:w="4748" w:type="dxa"/>
            <w:shd w:val="clear" w:color="auto" w:fill="FFC000"/>
          </w:tcPr>
          <w:p w:rsidR="007202BF" w:rsidRDefault="009276C6" w:rsidP="007202BF">
            <w:pPr>
              <w:jc w:val="center"/>
              <w:rPr>
                <w:b/>
                <w:sz w:val="20"/>
                <w:szCs w:val="20"/>
              </w:rPr>
            </w:pPr>
            <w:r>
              <w:rPr>
                <w:b/>
                <w:sz w:val="20"/>
                <w:szCs w:val="20"/>
              </w:rPr>
              <w:t>RIGHTS OF SHAREHOLDERS</w:t>
            </w:r>
          </w:p>
        </w:tc>
        <w:tc>
          <w:tcPr>
            <w:tcW w:w="4079" w:type="dxa"/>
            <w:shd w:val="clear" w:color="auto" w:fill="FFC000"/>
          </w:tcPr>
          <w:p w:rsidR="007202BF" w:rsidRDefault="007202BF" w:rsidP="007202BF">
            <w:pPr>
              <w:jc w:val="center"/>
              <w:rPr>
                <w:b/>
                <w:sz w:val="20"/>
                <w:szCs w:val="20"/>
              </w:rPr>
            </w:pPr>
            <w:r>
              <w:rPr>
                <w:b/>
                <w:sz w:val="20"/>
                <w:szCs w:val="20"/>
              </w:rPr>
              <w:t>APPLICABLE PRINCIPLE</w:t>
            </w:r>
          </w:p>
        </w:tc>
        <w:tc>
          <w:tcPr>
            <w:tcW w:w="1170" w:type="dxa"/>
            <w:shd w:val="clear" w:color="auto" w:fill="FFC000"/>
          </w:tcPr>
          <w:p w:rsidR="007202BF" w:rsidRDefault="007202BF" w:rsidP="007202BF">
            <w:pPr>
              <w:jc w:val="center"/>
              <w:rPr>
                <w:b/>
                <w:sz w:val="20"/>
                <w:szCs w:val="20"/>
              </w:rPr>
            </w:pPr>
            <w:r>
              <w:rPr>
                <w:b/>
                <w:sz w:val="20"/>
                <w:szCs w:val="20"/>
              </w:rPr>
              <w:t>RESPONSE</w:t>
            </w:r>
          </w:p>
        </w:tc>
        <w:tc>
          <w:tcPr>
            <w:tcW w:w="4305" w:type="dxa"/>
            <w:shd w:val="clear" w:color="auto" w:fill="FFC000"/>
          </w:tcPr>
          <w:p w:rsidR="007202BF" w:rsidRDefault="007202BF" w:rsidP="007202BF">
            <w:pPr>
              <w:jc w:val="center"/>
              <w:rPr>
                <w:b/>
                <w:sz w:val="20"/>
                <w:szCs w:val="20"/>
              </w:rPr>
            </w:pPr>
            <w:r>
              <w:rPr>
                <w:b/>
                <w:sz w:val="20"/>
                <w:szCs w:val="20"/>
              </w:rPr>
              <w:t>REFERENCE/SOURCE DOCUMENT</w:t>
            </w:r>
          </w:p>
        </w:tc>
      </w:tr>
      <w:tr w:rsidR="007202BF" w:rsidTr="00652A1A">
        <w:tc>
          <w:tcPr>
            <w:tcW w:w="15400" w:type="dxa"/>
            <w:gridSpan w:val="5"/>
            <w:shd w:val="clear" w:color="auto" w:fill="FFCC99"/>
          </w:tcPr>
          <w:p w:rsidR="007202BF" w:rsidRDefault="009120FF" w:rsidP="009276C6">
            <w:pPr>
              <w:rPr>
                <w:b/>
                <w:sz w:val="20"/>
                <w:szCs w:val="20"/>
              </w:rPr>
            </w:pPr>
            <w:r>
              <w:rPr>
                <w:b/>
                <w:sz w:val="20"/>
                <w:szCs w:val="20"/>
              </w:rPr>
              <w:t>A</w:t>
            </w:r>
            <w:r w:rsidR="007202BF">
              <w:rPr>
                <w:b/>
                <w:sz w:val="20"/>
                <w:szCs w:val="20"/>
              </w:rPr>
              <w:t xml:space="preserve">.1 </w:t>
            </w:r>
            <w:r w:rsidR="009276C6">
              <w:rPr>
                <w:b/>
                <w:sz w:val="20"/>
                <w:szCs w:val="20"/>
              </w:rPr>
              <w:t>Basic Shareholder Rights</w:t>
            </w:r>
          </w:p>
        </w:tc>
      </w:tr>
      <w:tr w:rsidR="00FF24F7" w:rsidTr="00652A1A">
        <w:tc>
          <w:tcPr>
            <w:tcW w:w="1098" w:type="dxa"/>
          </w:tcPr>
          <w:p w:rsidR="00FF24F7" w:rsidRDefault="00FF24F7">
            <w:pPr>
              <w:rPr>
                <w:rFonts w:ascii="Calibri" w:hAnsi="Calibri" w:cs="Calibri"/>
                <w:sz w:val="20"/>
                <w:szCs w:val="20"/>
              </w:rPr>
            </w:pPr>
            <w:r>
              <w:rPr>
                <w:rFonts w:ascii="Calibri" w:hAnsi="Calibri" w:cs="Calibri"/>
                <w:sz w:val="20"/>
                <w:szCs w:val="20"/>
              </w:rPr>
              <w:t>A.1.1</w:t>
            </w:r>
          </w:p>
        </w:tc>
        <w:tc>
          <w:tcPr>
            <w:tcW w:w="4748" w:type="dxa"/>
          </w:tcPr>
          <w:p w:rsidR="00FF24F7" w:rsidRPr="00FF24F7" w:rsidRDefault="00FF24F7">
            <w:pPr>
              <w:rPr>
                <w:rFonts w:ascii="Calibri" w:hAnsi="Calibri"/>
                <w:sz w:val="20"/>
                <w:szCs w:val="20"/>
              </w:rPr>
            </w:pPr>
            <w:r>
              <w:rPr>
                <w:rFonts w:ascii="Calibri" w:hAnsi="Calibri"/>
                <w:sz w:val="20"/>
                <w:szCs w:val="20"/>
              </w:rPr>
              <w:t>Does the company pay (interim and final/annual) dividends in an equitable and timely manner; that is, all shareholders are treated equally and paid within 30 days after being (i) declared for interim dividends and (ii) approved by shareholders at  general meetings for final dividends?</w:t>
            </w:r>
          </w:p>
        </w:tc>
        <w:tc>
          <w:tcPr>
            <w:tcW w:w="4079" w:type="dxa"/>
          </w:tcPr>
          <w:p w:rsidR="00FF24F7" w:rsidRDefault="00FF24F7">
            <w:pPr>
              <w:spacing w:after="240"/>
              <w:rPr>
                <w:rFonts w:ascii="Calibri" w:hAnsi="Calibri"/>
                <w:b/>
                <w:bCs/>
                <w:sz w:val="20"/>
                <w:szCs w:val="20"/>
              </w:rPr>
            </w:pPr>
            <w:r>
              <w:rPr>
                <w:rFonts w:ascii="Calibri" w:hAnsi="Calibri"/>
                <w:b/>
                <w:bCs/>
                <w:sz w:val="20"/>
                <w:szCs w:val="20"/>
              </w:rPr>
              <w:t>OECD Principle II: The Rights of Shareholders and</w:t>
            </w:r>
            <w:r>
              <w:rPr>
                <w:rFonts w:ascii="Calibri" w:hAnsi="Calibri"/>
                <w:b/>
                <w:bCs/>
                <w:sz w:val="20"/>
                <w:szCs w:val="20"/>
              </w:rPr>
              <w:br/>
              <w:t xml:space="preserve">Key Ownership Functions </w:t>
            </w:r>
            <w:r>
              <w:rPr>
                <w:rFonts w:ascii="Calibri" w:hAnsi="Calibri"/>
                <w:b/>
                <w:bCs/>
                <w:sz w:val="20"/>
                <w:szCs w:val="20"/>
              </w:rPr>
              <w:br/>
            </w:r>
            <w:r>
              <w:rPr>
                <w:rFonts w:ascii="Calibri" w:hAnsi="Calibri"/>
                <w:sz w:val="20"/>
                <w:szCs w:val="20"/>
              </w:rPr>
              <w:t>(A) Basic shareholder rights should include the right to, amongst others: (6) share in the profits of the corporation.</w:t>
            </w:r>
            <w:r>
              <w:rPr>
                <w:rFonts w:ascii="Calibri" w:hAnsi="Calibri"/>
                <w:b/>
                <w:bCs/>
                <w:sz w:val="20"/>
                <w:szCs w:val="20"/>
              </w:rPr>
              <w:br/>
              <w:t xml:space="preserve"> </w:t>
            </w:r>
          </w:p>
        </w:tc>
        <w:tc>
          <w:tcPr>
            <w:tcW w:w="1170" w:type="dxa"/>
            <w:vAlign w:val="center"/>
          </w:tcPr>
          <w:p w:rsidR="00FF24F7" w:rsidRDefault="00FF24F7">
            <w:pPr>
              <w:jc w:val="center"/>
              <w:rPr>
                <w:rFonts w:ascii="Calibri" w:hAnsi="Calibri"/>
                <w:sz w:val="20"/>
                <w:szCs w:val="20"/>
              </w:rPr>
            </w:pPr>
            <w:r>
              <w:rPr>
                <w:rFonts w:ascii="Calibri" w:hAnsi="Calibri"/>
                <w:sz w:val="20"/>
                <w:szCs w:val="20"/>
              </w:rPr>
              <w:t>Y</w:t>
            </w:r>
          </w:p>
        </w:tc>
        <w:tc>
          <w:tcPr>
            <w:tcW w:w="4305" w:type="dxa"/>
          </w:tcPr>
          <w:p w:rsidR="00FF24F7" w:rsidRDefault="009765A8" w:rsidP="00286C81">
            <w:pPr>
              <w:rPr>
                <w:b/>
                <w:sz w:val="20"/>
                <w:szCs w:val="20"/>
              </w:rPr>
            </w:pPr>
            <w:hyperlink r:id="rId8" w:history="1">
              <w:r w:rsidR="00286C81" w:rsidRPr="00121F93">
                <w:rPr>
                  <w:rStyle w:val="Hyperlink"/>
                  <w:b/>
                  <w:sz w:val="20"/>
                  <w:szCs w:val="20"/>
                </w:rPr>
                <w:t xml:space="preserve">Article 7 (e), page 17 of the </w:t>
              </w:r>
              <w:r w:rsidR="001F1281" w:rsidRPr="00121F93">
                <w:rPr>
                  <w:rStyle w:val="Hyperlink"/>
                  <w:b/>
                  <w:sz w:val="20"/>
                  <w:szCs w:val="20"/>
                </w:rPr>
                <w:t xml:space="preserve">MAAGAP’s </w:t>
              </w:r>
              <w:r w:rsidR="00286C81" w:rsidRPr="00121F93">
                <w:rPr>
                  <w:rStyle w:val="Hyperlink"/>
                  <w:b/>
                  <w:sz w:val="20"/>
                  <w:szCs w:val="20"/>
                </w:rPr>
                <w:t>Manual on Corporate Governance</w:t>
              </w:r>
            </w:hyperlink>
            <w:r w:rsidR="00286C81">
              <w:rPr>
                <w:b/>
                <w:sz w:val="20"/>
                <w:szCs w:val="20"/>
              </w:rPr>
              <w:t xml:space="preserve"> </w:t>
            </w:r>
            <w:r w:rsidR="001F1281">
              <w:rPr>
                <w:b/>
                <w:sz w:val="20"/>
                <w:szCs w:val="20"/>
              </w:rPr>
              <w:t>provides</w:t>
            </w:r>
            <w:r w:rsidR="00286C81">
              <w:rPr>
                <w:b/>
                <w:sz w:val="20"/>
                <w:szCs w:val="20"/>
              </w:rPr>
              <w:t xml:space="preserve"> the right of the shareholders to receive dividends</w:t>
            </w:r>
          </w:p>
          <w:p w:rsidR="00286C81" w:rsidRDefault="00286C81" w:rsidP="00286C81">
            <w:pPr>
              <w:rPr>
                <w:b/>
                <w:sz w:val="20"/>
                <w:szCs w:val="20"/>
              </w:rPr>
            </w:pPr>
          </w:p>
          <w:p w:rsidR="00286C81" w:rsidRDefault="00286C81" w:rsidP="00121F93">
            <w:pPr>
              <w:rPr>
                <w:b/>
                <w:sz w:val="20"/>
                <w:szCs w:val="20"/>
              </w:rPr>
            </w:pPr>
          </w:p>
        </w:tc>
      </w:tr>
      <w:tr w:rsidR="00B274F5" w:rsidTr="00652A1A">
        <w:tc>
          <w:tcPr>
            <w:tcW w:w="15400" w:type="dxa"/>
            <w:gridSpan w:val="5"/>
            <w:shd w:val="clear" w:color="auto" w:fill="FFFFFF" w:themeFill="background1"/>
          </w:tcPr>
          <w:p w:rsidR="00B274F5" w:rsidRDefault="00B274F5">
            <w:pPr>
              <w:rPr>
                <w:b/>
                <w:sz w:val="20"/>
                <w:szCs w:val="20"/>
              </w:rPr>
            </w:pPr>
          </w:p>
        </w:tc>
      </w:tr>
      <w:tr w:rsidR="00FF24F7" w:rsidTr="00652A1A">
        <w:tc>
          <w:tcPr>
            <w:tcW w:w="15400" w:type="dxa"/>
            <w:gridSpan w:val="5"/>
            <w:shd w:val="clear" w:color="auto" w:fill="FBD4B4" w:themeFill="accent6" w:themeFillTint="66"/>
          </w:tcPr>
          <w:p w:rsidR="00FF24F7" w:rsidRPr="00FF24F7" w:rsidRDefault="00FF24F7">
            <w:pPr>
              <w:rPr>
                <w:b/>
                <w:sz w:val="20"/>
                <w:szCs w:val="20"/>
              </w:rPr>
            </w:pPr>
            <w:r>
              <w:rPr>
                <w:b/>
                <w:sz w:val="20"/>
                <w:szCs w:val="20"/>
              </w:rPr>
              <w:t xml:space="preserve">A.2 </w:t>
            </w:r>
            <w:r>
              <w:rPr>
                <w:rFonts w:ascii="Calibri" w:hAnsi="Calibri"/>
                <w:b/>
                <w:bCs/>
                <w:sz w:val="20"/>
                <w:szCs w:val="20"/>
              </w:rPr>
              <w:t>Right to participate in decisions concerning fundamental corporate changes.</w:t>
            </w:r>
          </w:p>
        </w:tc>
      </w:tr>
      <w:tr w:rsidR="000814AA" w:rsidTr="000814AA">
        <w:tc>
          <w:tcPr>
            <w:tcW w:w="1098" w:type="dxa"/>
            <w:tcBorders>
              <w:top w:val="single" w:sz="4" w:space="0" w:color="auto"/>
              <w:left w:val="single" w:sz="4" w:space="0" w:color="auto"/>
              <w:bottom w:val="single" w:sz="4" w:space="0" w:color="auto"/>
              <w:right w:val="nil"/>
            </w:tcBorders>
          </w:tcPr>
          <w:p w:rsidR="000814AA" w:rsidRDefault="000814AA">
            <w:pPr>
              <w:rPr>
                <w:rFonts w:ascii="Calibri" w:hAnsi="Calibri"/>
                <w:sz w:val="20"/>
                <w:szCs w:val="20"/>
              </w:rPr>
            </w:pPr>
          </w:p>
        </w:tc>
        <w:tc>
          <w:tcPr>
            <w:tcW w:w="4748" w:type="dxa"/>
            <w:tcBorders>
              <w:top w:val="single" w:sz="4" w:space="0" w:color="auto"/>
              <w:left w:val="nil"/>
              <w:bottom w:val="single" w:sz="4" w:space="0" w:color="auto"/>
              <w:right w:val="nil"/>
            </w:tcBorders>
          </w:tcPr>
          <w:p w:rsidR="000814AA" w:rsidRDefault="000814AA">
            <w:pPr>
              <w:rPr>
                <w:rFonts w:ascii="Calibri" w:hAnsi="Calibri"/>
                <w:sz w:val="20"/>
                <w:szCs w:val="20"/>
              </w:rPr>
            </w:pPr>
            <w:r>
              <w:rPr>
                <w:rFonts w:ascii="Calibri" w:hAnsi="Calibri"/>
                <w:b/>
                <w:bCs/>
                <w:i/>
                <w:iCs/>
                <w:sz w:val="20"/>
                <w:szCs w:val="20"/>
              </w:rPr>
              <w:t>Do shareholders have the right to participate in:</w:t>
            </w:r>
          </w:p>
        </w:tc>
        <w:tc>
          <w:tcPr>
            <w:tcW w:w="4079" w:type="dxa"/>
            <w:tcBorders>
              <w:top w:val="single" w:sz="4" w:space="0" w:color="auto"/>
              <w:left w:val="nil"/>
              <w:bottom w:val="single" w:sz="4" w:space="0" w:color="auto"/>
              <w:right w:val="nil"/>
            </w:tcBorders>
          </w:tcPr>
          <w:p w:rsidR="000814AA" w:rsidRDefault="000814AA">
            <w:pPr>
              <w:rPr>
                <w:rFonts w:ascii="Calibri" w:hAnsi="Calibri"/>
                <w:b/>
                <w:bCs/>
                <w:sz w:val="20"/>
                <w:szCs w:val="20"/>
              </w:rPr>
            </w:pPr>
          </w:p>
        </w:tc>
        <w:tc>
          <w:tcPr>
            <w:tcW w:w="1170" w:type="dxa"/>
            <w:tcBorders>
              <w:top w:val="single" w:sz="4" w:space="0" w:color="auto"/>
              <w:left w:val="nil"/>
              <w:bottom w:val="single" w:sz="4" w:space="0" w:color="auto"/>
              <w:right w:val="nil"/>
            </w:tcBorders>
            <w:vAlign w:val="center"/>
          </w:tcPr>
          <w:p w:rsidR="000814AA" w:rsidRDefault="000814AA">
            <w:pPr>
              <w:jc w:val="center"/>
              <w:rPr>
                <w:rFonts w:ascii="Calibri" w:hAnsi="Calibri"/>
                <w:sz w:val="20"/>
                <w:szCs w:val="20"/>
              </w:rPr>
            </w:pPr>
          </w:p>
        </w:tc>
        <w:tc>
          <w:tcPr>
            <w:tcW w:w="4305" w:type="dxa"/>
            <w:tcBorders>
              <w:top w:val="single" w:sz="4" w:space="0" w:color="auto"/>
              <w:left w:val="nil"/>
              <w:bottom w:val="single" w:sz="4" w:space="0" w:color="auto"/>
              <w:right w:val="single" w:sz="4" w:space="0" w:color="auto"/>
            </w:tcBorders>
          </w:tcPr>
          <w:p w:rsidR="000814AA" w:rsidRDefault="000814AA">
            <w:pPr>
              <w:rPr>
                <w:b/>
                <w:sz w:val="20"/>
                <w:szCs w:val="20"/>
              </w:rPr>
            </w:pPr>
          </w:p>
        </w:tc>
      </w:tr>
      <w:tr w:rsidR="00FF24F7" w:rsidTr="000814AA">
        <w:tc>
          <w:tcPr>
            <w:tcW w:w="1098" w:type="dxa"/>
            <w:tcBorders>
              <w:top w:val="single" w:sz="4" w:space="0" w:color="auto"/>
            </w:tcBorders>
          </w:tcPr>
          <w:p w:rsidR="00FF24F7" w:rsidRDefault="00FF24F7">
            <w:pPr>
              <w:rPr>
                <w:rFonts w:ascii="Calibri" w:hAnsi="Calibri"/>
                <w:sz w:val="20"/>
                <w:szCs w:val="20"/>
              </w:rPr>
            </w:pPr>
            <w:r>
              <w:rPr>
                <w:rFonts w:ascii="Calibri" w:hAnsi="Calibri"/>
                <w:sz w:val="20"/>
                <w:szCs w:val="20"/>
              </w:rPr>
              <w:t>A.2.1</w:t>
            </w:r>
          </w:p>
        </w:tc>
        <w:tc>
          <w:tcPr>
            <w:tcW w:w="4748" w:type="dxa"/>
            <w:tcBorders>
              <w:top w:val="single" w:sz="4" w:space="0" w:color="auto"/>
            </w:tcBorders>
          </w:tcPr>
          <w:p w:rsidR="00FF24F7" w:rsidRDefault="00FF24F7">
            <w:pPr>
              <w:rPr>
                <w:rFonts w:ascii="Calibri" w:hAnsi="Calibri"/>
                <w:sz w:val="20"/>
                <w:szCs w:val="20"/>
              </w:rPr>
            </w:pPr>
            <w:r>
              <w:rPr>
                <w:rFonts w:ascii="Calibri" w:hAnsi="Calibri"/>
                <w:sz w:val="20"/>
                <w:szCs w:val="20"/>
              </w:rPr>
              <w:t>Amendments to the company's constitution?</w:t>
            </w:r>
          </w:p>
        </w:tc>
        <w:tc>
          <w:tcPr>
            <w:tcW w:w="4079" w:type="dxa"/>
            <w:tcBorders>
              <w:top w:val="single" w:sz="4" w:space="0" w:color="auto"/>
            </w:tcBorders>
          </w:tcPr>
          <w:p w:rsidR="00FF24F7" w:rsidRDefault="00FF24F7">
            <w:pPr>
              <w:rPr>
                <w:rFonts w:ascii="Calibri" w:hAnsi="Calibri"/>
                <w:b/>
                <w:bCs/>
                <w:sz w:val="20"/>
                <w:szCs w:val="20"/>
              </w:rPr>
            </w:pPr>
            <w:r>
              <w:rPr>
                <w:rFonts w:ascii="Calibri" w:hAnsi="Calibri"/>
                <w:b/>
                <w:bCs/>
                <w:sz w:val="20"/>
                <w:szCs w:val="20"/>
              </w:rPr>
              <w:t>OECD Principle II</w:t>
            </w:r>
            <w:r>
              <w:rPr>
                <w:rFonts w:ascii="Calibri" w:hAnsi="Calibri"/>
                <w:b/>
                <w:bCs/>
                <w:sz w:val="20"/>
                <w:szCs w:val="20"/>
              </w:rPr>
              <w:br/>
            </w:r>
            <w:r>
              <w:rPr>
                <w:rFonts w:ascii="Calibri" w:hAnsi="Calibri"/>
                <w:sz w:val="20"/>
                <w:szCs w:val="20"/>
              </w:rPr>
              <w:t>(B) Shareholders should have the right to participate in, and to be sufficiently informed on, decisions concerning fundamental corporate changes such as: (1) amendments to the statutes, or articles of incorporation or similar governing documents of the company.</w:t>
            </w:r>
          </w:p>
        </w:tc>
        <w:tc>
          <w:tcPr>
            <w:tcW w:w="1170" w:type="dxa"/>
            <w:tcBorders>
              <w:top w:val="single" w:sz="4" w:space="0" w:color="auto"/>
            </w:tcBorders>
            <w:vAlign w:val="center"/>
          </w:tcPr>
          <w:p w:rsidR="00FF24F7" w:rsidRDefault="00FF24F7">
            <w:pPr>
              <w:jc w:val="center"/>
              <w:rPr>
                <w:rFonts w:ascii="Calibri" w:hAnsi="Calibri"/>
                <w:sz w:val="20"/>
                <w:szCs w:val="20"/>
              </w:rPr>
            </w:pPr>
            <w:r>
              <w:rPr>
                <w:rFonts w:ascii="Calibri" w:hAnsi="Calibri"/>
                <w:sz w:val="20"/>
                <w:szCs w:val="20"/>
              </w:rPr>
              <w:t>Y</w:t>
            </w:r>
          </w:p>
        </w:tc>
        <w:tc>
          <w:tcPr>
            <w:tcW w:w="4305" w:type="dxa"/>
            <w:tcBorders>
              <w:top w:val="single" w:sz="4" w:space="0" w:color="auto"/>
            </w:tcBorders>
          </w:tcPr>
          <w:p w:rsidR="00FF24F7" w:rsidRDefault="009765A8">
            <w:pPr>
              <w:rPr>
                <w:b/>
                <w:sz w:val="20"/>
                <w:szCs w:val="20"/>
              </w:rPr>
            </w:pPr>
            <w:hyperlink r:id="rId9" w:history="1">
              <w:r w:rsidR="001E4ACB" w:rsidRPr="00121F93">
                <w:rPr>
                  <w:rStyle w:val="Hyperlink"/>
                  <w:b/>
                  <w:sz w:val="20"/>
                  <w:szCs w:val="20"/>
                </w:rPr>
                <w:t>Article 7 (a.i.)</w:t>
              </w:r>
              <w:r w:rsidR="001F1281" w:rsidRPr="00121F93">
                <w:rPr>
                  <w:rStyle w:val="Hyperlink"/>
                  <w:b/>
                  <w:sz w:val="20"/>
                  <w:szCs w:val="20"/>
                </w:rPr>
                <w:t>, page 17 of the MAAGAP’s Manual on Corporate Governance</w:t>
              </w:r>
            </w:hyperlink>
            <w:r w:rsidR="001F1281">
              <w:rPr>
                <w:b/>
                <w:sz w:val="20"/>
                <w:szCs w:val="20"/>
              </w:rPr>
              <w:t xml:space="preserve"> provides the right of the shareholders to vote on all matters</w:t>
            </w:r>
            <w:r w:rsidR="001E4ACB">
              <w:rPr>
                <w:b/>
                <w:sz w:val="20"/>
                <w:szCs w:val="20"/>
              </w:rPr>
              <w:t>,</w:t>
            </w:r>
            <w:r w:rsidR="0085734A">
              <w:rPr>
                <w:b/>
                <w:sz w:val="20"/>
                <w:szCs w:val="20"/>
              </w:rPr>
              <w:t xml:space="preserve"> </w:t>
            </w:r>
            <w:r w:rsidR="001E4ACB">
              <w:rPr>
                <w:b/>
                <w:sz w:val="20"/>
                <w:szCs w:val="20"/>
              </w:rPr>
              <w:t>including</w:t>
            </w:r>
            <w:r w:rsidR="0085734A">
              <w:rPr>
                <w:b/>
                <w:sz w:val="20"/>
                <w:szCs w:val="20"/>
              </w:rPr>
              <w:t xml:space="preserve"> but not limited to (i) Amendments of the Articles of Incorporation</w:t>
            </w:r>
            <w:r w:rsidR="00431560">
              <w:rPr>
                <w:b/>
                <w:sz w:val="20"/>
                <w:szCs w:val="20"/>
              </w:rPr>
              <w:t>, (ii) Adoption and Amendments of By-laws</w:t>
            </w:r>
          </w:p>
          <w:p w:rsidR="0085734A" w:rsidRDefault="0085734A">
            <w:pPr>
              <w:rPr>
                <w:b/>
                <w:sz w:val="20"/>
                <w:szCs w:val="20"/>
              </w:rPr>
            </w:pPr>
          </w:p>
          <w:p w:rsidR="0085734A" w:rsidRDefault="0085734A" w:rsidP="00121F93">
            <w:pPr>
              <w:rPr>
                <w:b/>
                <w:sz w:val="20"/>
                <w:szCs w:val="20"/>
              </w:rPr>
            </w:pPr>
          </w:p>
        </w:tc>
      </w:tr>
      <w:tr w:rsidR="00FF24F7" w:rsidTr="00652A1A">
        <w:tc>
          <w:tcPr>
            <w:tcW w:w="1098" w:type="dxa"/>
          </w:tcPr>
          <w:p w:rsidR="00FF24F7" w:rsidRDefault="00FF24F7">
            <w:pPr>
              <w:rPr>
                <w:rFonts w:ascii="Calibri" w:hAnsi="Calibri"/>
                <w:sz w:val="20"/>
                <w:szCs w:val="20"/>
              </w:rPr>
            </w:pPr>
            <w:r>
              <w:rPr>
                <w:rFonts w:ascii="Calibri" w:hAnsi="Calibri"/>
                <w:sz w:val="20"/>
                <w:szCs w:val="20"/>
              </w:rPr>
              <w:t>A.2.2</w:t>
            </w:r>
          </w:p>
        </w:tc>
        <w:tc>
          <w:tcPr>
            <w:tcW w:w="4748" w:type="dxa"/>
          </w:tcPr>
          <w:p w:rsidR="00FF24F7" w:rsidRDefault="00FF24F7">
            <w:pPr>
              <w:rPr>
                <w:rFonts w:ascii="Calibri" w:hAnsi="Calibri"/>
                <w:sz w:val="20"/>
                <w:szCs w:val="20"/>
              </w:rPr>
            </w:pPr>
            <w:r>
              <w:rPr>
                <w:rFonts w:ascii="Calibri" w:hAnsi="Calibri"/>
                <w:sz w:val="20"/>
                <w:szCs w:val="20"/>
              </w:rPr>
              <w:t xml:space="preserve">The </w:t>
            </w:r>
            <w:r w:rsidR="00E02C4F">
              <w:rPr>
                <w:rFonts w:ascii="Calibri" w:hAnsi="Calibri"/>
                <w:sz w:val="20"/>
                <w:szCs w:val="20"/>
              </w:rPr>
              <w:t>authorization</w:t>
            </w:r>
            <w:r>
              <w:rPr>
                <w:rFonts w:ascii="Calibri" w:hAnsi="Calibri"/>
                <w:sz w:val="20"/>
                <w:szCs w:val="20"/>
              </w:rPr>
              <w:t xml:space="preserve"> of additional shares?</w:t>
            </w:r>
          </w:p>
        </w:tc>
        <w:tc>
          <w:tcPr>
            <w:tcW w:w="4079" w:type="dxa"/>
          </w:tcPr>
          <w:p w:rsidR="00FF24F7" w:rsidRDefault="00FF24F7">
            <w:pPr>
              <w:rPr>
                <w:rFonts w:ascii="Calibri" w:hAnsi="Calibri"/>
                <w:b/>
                <w:bCs/>
                <w:sz w:val="20"/>
                <w:szCs w:val="20"/>
              </w:rPr>
            </w:pPr>
            <w:r>
              <w:rPr>
                <w:rFonts w:ascii="Calibri" w:hAnsi="Calibri"/>
                <w:b/>
                <w:bCs/>
                <w:sz w:val="20"/>
                <w:szCs w:val="20"/>
              </w:rPr>
              <w:t xml:space="preserve">OECD Principle II (B): </w:t>
            </w:r>
            <w:r>
              <w:rPr>
                <w:rFonts w:ascii="Calibri" w:hAnsi="Calibri"/>
                <w:b/>
                <w:bCs/>
                <w:sz w:val="20"/>
                <w:szCs w:val="20"/>
              </w:rPr>
              <w:br/>
            </w:r>
            <w:r>
              <w:rPr>
                <w:rFonts w:ascii="Calibri" w:hAnsi="Calibri"/>
                <w:sz w:val="20"/>
                <w:szCs w:val="20"/>
              </w:rPr>
              <w:t xml:space="preserve">(2) the </w:t>
            </w:r>
            <w:r w:rsidR="002904C8">
              <w:rPr>
                <w:rFonts w:ascii="Calibri" w:hAnsi="Calibri"/>
                <w:sz w:val="20"/>
                <w:szCs w:val="20"/>
              </w:rPr>
              <w:t>authorization</w:t>
            </w:r>
            <w:r>
              <w:rPr>
                <w:rFonts w:ascii="Calibri" w:hAnsi="Calibri"/>
                <w:sz w:val="20"/>
                <w:szCs w:val="20"/>
              </w:rPr>
              <w:t xml:space="preserve"> of additional shares.</w:t>
            </w:r>
          </w:p>
        </w:tc>
        <w:tc>
          <w:tcPr>
            <w:tcW w:w="1170" w:type="dxa"/>
            <w:vAlign w:val="center"/>
          </w:tcPr>
          <w:p w:rsidR="00FF24F7" w:rsidRDefault="00FF24F7">
            <w:pPr>
              <w:jc w:val="center"/>
              <w:rPr>
                <w:rFonts w:ascii="Calibri" w:hAnsi="Calibri"/>
                <w:sz w:val="20"/>
                <w:szCs w:val="20"/>
              </w:rPr>
            </w:pPr>
            <w:r>
              <w:rPr>
                <w:rFonts w:ascii="Calibri" w:hAnsi="Calibri"/>
                <w:sz w:val="20"/>
                <w:szCs w:val="20"/>
              </w:rPr>
              <w:t>Y</w:t>
            </w:r>
          </w:p>
        </w:tc>
        <w:tc>
          <w:tcPr>
            <w:tcW w:w="4305" w:type="dxa"/>
          </w:tcPr>
          <w:p w:rsidR="001E4ACB" w:rsidRDefault="009765A8" w:rsidP="001E4ACB">
            <w:pPr>
              <w:rPr>
                <w:b/>
                <w:sz w:val="20"/>
                <w:szCs w:val="20"/>
              </w:rPr>
            </w:pPr>
            <w:hyperlink r:id="rId10" w:history="1">
              <w:r w:rsidR="001E4ACB" w:rsidRPr="00121F93">
                <w:rPr>
                  <w:rStyle w:val="Hyperlink"/>
                  <w:b/>
                  <w:sz w:val="20"/>
                  <w:szCs w:val="20"/>
                </w:rPr>
                <w:t>Article 7 (a.v.), page 17 of the MAAGAP’s Manual on Corporate Governance</w:t>
              </w:r>
            </w:hyperlink>
            <w:r w:rsidR="001E4ACB">
              <w:rPr>
                <w:b/>
                <w:sz w:val="20"/>
                <w:szCs w:val="20"/>
              </w:rPr>
              <w:t xml:space="preserve"> provides the right of the shareholders to vote on all matters, including but not limited to (v) Increase or decrease of capital stock</w:t>
            </w:r>
          </w:p>
          <w:p w:rsidR="001E4ACB" w:rsidRDefault="001E4ACB" w:rsidP="001E4ACB">
            <w:pPr>
              <w:rPr>
                <w:b/>
                <w:sz w:val="20"/>
                <w:szCs w:val="20"/>
              </w:rPr>
            </w:pPr>
          </w:p>
          <w:p w:rsidR="00FF24F7" w:rsidRDefault="00FF24F7" w:rsidP="00121F93">
            <w:pPr>
              <w:rPr>
                <w:b/>
                <w:sz w:val="20"/>
                <w:szCs w:val="20"/>
              </w:rPr>
            </w:pPr>
          </w:p>
        </w:tc>
      </w:tr>
      <w:tr w:rsidR="00FF24F7" w:rsidTr="00652A1A">
        <w:tc>
          <w:tcPr>
            <w:tcW w:w="1098" w:type="dxa"/>
          </w:tcPr>
          <w:p w:rsidR="00FF24F7" w:rsidRDefault="00FF24F7">
            <w:pPr>
              <w:rPr>
                <w:rFonts w:ascii="Calibri" w:hAnsi="Calibri"/>
                <w:sz w:val="20"/>
                <w:szCs w:val="20"/>
              </w:rPr>
            </w:pPr>
            <w:r>
              <w:rPr>
                <w:rFonts w:ascii="Calibri" w:hAnsi="Calibri"/>
                <w:sz w:val="20"/>
                <w:szCs w:val="20"/>
              </w:rPr>
              <w:t>A.2.3</w:t>
            </w:r>
          </w:p>
        </w:tc>
        <w:tc>
          <w:tcPr>
            <w:tcW w:w="4748" w:type="dxa"/>
          </w:tcPr>
          <w:p w:rsidR="00FF24F7" w:rsidRDefault="00FF24F7">
            <w:pPr>
              <w:rPr>
                <w:rFonts w:ascii="Calibri" w:hAnsi="Calibri"/>
                <w:sz w:val="20"/>
                <w:szCs w:val="20"/>
              </w:rPr>
            </w:pPr>
            <w:r>
              <w:rPr>
                <w:rFonts w:ascii="Calibri" w:hAnsi="Calibri"/>
                <w:sz w:val="20"/>
                <w:szCs w:val="20"/>
              </w:rPr>
              <w:t>The transfer of all or substantially all assets, which in effect results in the sale of the company?</w:t>
            </w:r>
          </w:p>
        </w:tc>
        <w:tc>
          <w:tcPr>
            <w:tcW w:w="4079" w:type="dxa"/>
          </w:tcPr>
          <w:p w:rsidR="00FF24F7" w:rsidRDefault="00FF24F7">
            <w:pPr>
              <w:rPr>
                <w:rFonts w:ascii="Calibri" w:hAnsi="Calibri"/>
                <w:b/>
                <w:bCs/>
                <w:sz w:val="20"/>
                <w:szCs w:val="20"/>
              </w:rPr>
            </w:pPr>
            <w:r>
              <w:rPr>
                <w:rFonts w:ascii="Calibri" w:hAnsi="Calibri"/>
                <w:b/>
                <w:bCs/>
                <w:sz w:val="20"/>
                <w:szCs w:val="20"/>
              </w:rPr>
              <w:t>OECD Principle II</w:t>
            </w:r>
            <w:r w:rsidR="002904C8">
              <w:rPr>
                <w:rFonts w:ascii="Calibri" w:hAnsi="Calibri"/>
                <w:b/>
                <w:bCs/>
                <w:sz w:val="20"/>
                <w:szCs w:val="20"/>
              </w:rPr>
              <w:t>. (</w:t>
            </w:r>
            <w:r>
              <w:rPr>
                <w:rFonts w:ascii="Calibri" w:hAnsi="Calibri"/>
                <w:b/>
                <w:bCs/>
                <w:sz w:val="20"/>
                <w:szCs w:val="20"/>
              </w:rPr>
              <w:t xml:space="preserve">B): </w:t>
            </w:r>
            <w:r>
              <w:rPr>
                <w:rFonts w:ascii="Calibri" w:hAnsi="Calibri"/>
                <w:b/>
                <w:bCs/>
                <w:sz w:val="20"/>
                <w:szCs w:val="20"/>
              </w:rPr>
              <w:br/>
            </w:r>
            <w:r>
              <w:rPr>
                <w:rFonts w:ascii="Calibri" w:hAnsi="Calibri"/>
                <w:sz w:val="20"/>
                <w:szCs w:val="20"/>
              </w:rPr>
              <w:t>(3) extraordinary transactions, including the transfer of all or substantially all assets, that in effect result in the sale of the company.</w:t>
            </w:r>
          </w:p>
        </w:tc>
        <w:tc>
          <w:tcPr>
            <w:tcW w:w="1170" w:type="dxa"/>
            <w:vAlign w:val="center"/>
          </w:tcPr>
          <w:p w:rsidR="00FF24F7" w:rsidRDefault="00FF24F7">
            <w:pPr>
              <w:jc w:val="center"/>
              <w:rPr>
                <w:rFonts w:ascii="Calibri" w:hAnsi="Calibri"/>
                <w:sz w:val="20"/>
                <w:szCs w:val="20"/>
              </w:rPr>
            </w:pPr>
            <w:r>
              <w:rPr>
                <w:rFonts w:ascii="Calibri" w:hAnsi="Calibri"/>
                <w:sz w:val="20"/>
                <w:szCs w:val="20"/>
              </w:rPr>
              <w:t>Y</w:t>
            </w:r>
          </w:p>
        </w:tc>
        <w:tc>
          <w:tcPr>
            <w:tcW w:w="4305" w:type="dxa"/>
          </w:tcPr>
          <w:p w:rsidR="00AA6A1A" w:rsidRDefault="009765A8" w:rsidP="00745E83">
            <w:pPr>
              <w:rPr>
                <w:b/>
                <w:sz w:val="20"/>
                <w:szCs w:val="20"/>
              </w:rPr>
            </w:pPr>
            <w:hyperlink r:id="rId11" w:history="1">
              <w:r w:rsidR="00AA6A1A" w:rsidRPr="00745E83">
                <w:rPr>
                  <w:rStyle w:val="Hyperlink"/>
                  <w:b/>
                  <w:sz w:val="20"/>
                  <w:szCs w:val="20"/>
                </w:rPr>
                <w:t>Article 7 (a.iii.), page 17 of the MAAGAP’s Manual on Corporate Governance</w:t>
              </w:r>
            </w:hyperlink>
            <w:r w:rsidR="00AA6A1A">
              <w:rPr>
                <w:b/>
                <w:sz w:val="20"/>
                <w:szCs w:val="20"/>
              </w:rPr>
              <w:t xml:space="preserve"> provides the right of the shareholders to vote on all matters, including but not limited to (iii) Sale, lease, exchange, mortgage, pledge or other disposition of all or substantially all of the corporate property</w:t>
            </w:r>
            <w:r w:rsidR="00745E83">
              <w:rPr>
                <w:b/>
                <w:sz w:val="20"/>
                <w:szCs w:val="20"/>
              </w:rPr>
              <w:t>.</w:t>
            </w:r>
          </w:p>
        </w:tc>
      </w:tr>
      <w:tr w:rsidR="00B274F5" w:rsidTr="00652A1A">
        <w:tc>
          <w:tcPr>
            <w:tcW w:w="15400" w:type="dxa"/>
            <w:gridSpan w:val="5"/>
          </w:tcPr>
          <w:p w:rsidR="00B274F5" w:rsidRDefault="00B274F5">
            <w:pPr>
              <w:rPr>
                <w:b/>
                <w:sz w:val="20"/>
                <w:szCs w:val="20"/>
              </w:rPr>
            </w:pPr>
          </w:p>
        </w:tc>
      </w:tr>
      <w:tr w:rsidR="00B274F5" w:rsidTr="00652A1A">
        <w:tc>
          <w:tcPr>
            <w:tcW w:w="15400" w:type="dxa"/>
            <w:gridSpan w:val="5"/>
            <w:shd w:val="clear" w:color="auto" w:fill="FBD4B4" w:themeFill="accent6" w:themeFillTint="66"/>
          </w:tcPr>
          <w:p w:rsidR="00B274F5" w:rsidRPr="00B274F5" w:rsidRDefault="00B274F5">
            <w:pPr>
              <w:rPr>
                <w:rFonts w:ascii="Calibri" w:hAnsi="Calibri"/>
                <w:b/>
                <w:bCs/>
                <w:sz w:val="20"/>
                <w:szCs w:val="20"/>
              </w:rPr>
            </w:pPr>
            <w:r>
              <w:rPr>
                <w:rFonts w:ascii="Calibri" w:hAnsi="Calibri"/>
                <w:b/>
                <w:bCs/>
                <w:sz w:val="20"/>
                <w:szCs w:val="20"/>
              </w:rPr>
              <w:t>A.3 Right to participate effectively in and vote in general shareholder meetings and should be informed of the rules, including voting procedures, that govern general shareholder meetings.</w:t>
            </w:r>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A.3.1</w:t>
            </w:r>
          </w:p>
        </w:tc>
        <w:tc>
          <w:tcPr>
            <w:tcW w:w="4748" w:type="dxa"/>
          </w:tcPr>
          <w:p w:rsidR="000800FB" w:rsidRDefault="000800FB">
            <w:pPr>
              <w:rPr>
                <w:rFonts w:ascii="Calibri" w:hAnsi="Calibri"/>
                <w:sz w:val="20"/>
                <w:szCs w:val="20"/>
              </w:rPr>
            </w:pPr>
            <w:r>
              <w:rPr>
                <w:rFonts w:ascii="Calibri" w:hAnsi="Calibri"/>
                <w:sz w:val="20"/>
                <w:szCs w:val="20"/>
              </w:rPr>
              <w:t>Do shareholders have the opportunity, evidenced by an agenda item, to approve remuneration (fees, allowances, benefit-in-kind and other emoluments) or any increases in remuneration for the non-executive directors/commissioners?</w:t>
            </w:r>
          </w:p>
        </w:tc>
        <w:tc>
          <w:tcPr>
            <w:tcW w:w="4079" w:type="dxa"/>
            <w:vMerge w:val="restart"/>
          </w:tcPr>
          <w:p w:rsidR="000800FB" w:rsidRDefault="000800FB">
            <w:pPr>
              <w:rPr>
                <w:rFonts w:ascii="Calibri" w:hAnsi="Calibri"/>
                <w:sz w:val="20"/>
                <w:szCs w:val="20"/>
              </w:rPr>
            </w:pPr>
            <w:r>
              <w:rPr>
                <w:rFonts w:ascii="Calibri" w:hAnsi="Calibri"/>
                <w:b/>
                <w:bCs/>
                <w:sz w:val="20"/>
                <w:szCs w:val="20"/>
              </w:rPr>
              <w:t xml:space="preserve">OECD Principle II (C): </w:t>
            </w:r>
            <w:r>
              <w:rPr>
                <w:rFonts w:ascii="Calibri" w:hAnsi="Calibri"/>
                <w:b/>
                <w:bCs/>
                <w:sz w:val="20"/>
                <w:szCs w:val="20"/>
              </w:rPr>
              <w:br/>
            </w:r>
            <w:r>
              <w:rPr>
                <w:rFonts w:ascii="Calibri" w:hAnsi="Calibri"/>
                <w:sz w:val="20"/>
                <w:szCs w:val="20"/>
              </w:rPr>
              <w:t>(3) Effective shareholder participation in key corporate governance decisions, such as the nomination and election of board members, should be facilitated. Shareholders should be able to make their views known on the remuneration policy for board members and key executives. The equity component of compensation schemes for board members and employees should be subject to shareholder approval.</w:t>
            </w:r>
          </w:p>
        </w:tc>
        <w:tc>
          <w:tcPr>
            <w:tcW w:w="1170" w:type="dxa"/>
            <w:vAlign w:val="center"/>
          </w:tcPr>
          <w:p w:rsidR="000800FB" w:rsidRDefault="000800FB">
            <w:pPr>
              <w:jc w:val="center"/>
              <w:rPr>
                <w:rFonts w:ascii="Calibri" w:hAnsi="Calibri"/>
                <w:sz w:val="20"/>
                <w:szCs w:val="20"/>
              </w:rPr>
            </w:pPr>
            <w:r>
              <w:rPr>
                <w:rFonts w:ascii="Calibri" w:hAnsi="Calibri"/>
                <w:sz w:val="20"/>
                <w:szCs w:val="20"/>
              </w:rPr>
              <w:t>Y</w:t>
            </w:r>
          </w:p>
        </w:tc>
        <w:tc>
          <w:tcPr>
            <w:tcW w:w="4305" w:type="dxa"/>
          </w:tcPr>
          <w:p w:rsidR="000800FB" w:rsidRDefault="00224305" w:rsidP="00224305">
            <w:pPr>
              <w:rPr>
                <w:b/>
                <w:i/>
                <w:sz w:val="20"/>
                <w:szCs w:val="20"/>
              </w:rPr>
            </w:pPr>
            <w:r>
              <w:rPr>
                <w:b/>
                <w:sz w:val="20"/>
                <w:szCs w:val="20"/>
              </w:rPr>
              <w:t>MAAGAP</w:t>
            </w:r>
            <w:r w:rsidR="00A4215F" w:rsidRPr="00C17C90">
              <w:rPr>
                <w:b/>
                <w:sz w:val="20"/>
                <w:szCs w:val="20"/>
              </w:rPr>
              <w:t xml:space="preserve"> </w:t>
            </w:r>
            <w:r>
              <w:rPr>
                <w:b/>
                <w:sz w:val="20"/>
                <w:szCs w:val="20"/>
              </w:rPr>
              <w:t>adheres to</w:t>
            </w:r>
            <w:r w:rsidR="00C17C90" w:rsidRPr="00C17C90">
              <w:rPr>
                <w:b/>
                <w:sz w:val="20"/>
                <w:szCs w:val="20"/>
              </w:rPr>
              <w:t xml:space="preserve"> the provision </w:t>
            </w:r>
            <w:r>
              <w:rPr>
                <w:b/>
                <w:sz w:val="20"/>
                <w:szCs w:val="20"/>
              </w:rPr>
              <w:t xml:space="preserve">stated under the </w:t>
            </w:r>
            <w:hyperlink r:id="rId12" w:history="1">
              <w:r w:rsidRPr="00B66C1D">
                <w:rPr>
                  <w:rStyle w:val="Hyperlink"/>
                  <w:b/>
                  <w:sz w:val="20"/>
                  <w:szCs w:val="20"/>
                </w:rPr>
                <w:t>Sec. 30, Title III of the Corporation Code of the Philippines</w:t>
              </w:r>
            </w:hyperlink>
            <w:r>
              <w:rPr>
                <w:b/>
                <w:sz w:val="20"/>
                <w:szCs w:val="20"/>
              </w:rPr>
              <w:t>, to wit:</w:t>
            </w:r>
            <w:r w:rsidR="009C10FE" w:rsidRPr="00C17C90">
              <w:rPr>
                <w:b/>
                <w:sz w:val="20"/>
                <w:szCs w:val="20"/>
              </w:rPr>
              <w:t xml:space="preserve"> “</w:t>
            </w:r>
            <w:r w:rsidR="009C10FE" w:rsidRPr="00224305">
              <w:rPr>
                <w:b/>
                <w:i/>
                <w:sz w:val="20"/>
                <w:szCs w:val="20"/>
              </w:rPr>
              <w:t xml:space="preserve">In the absence of any provision in the </w:t>
            </w:r>
            <w:r w:rsidR="004B17C4">
              <w:rPr>
                <w:b/>
                <w:i/>
                <w:sz w:val="20"/>
                <w:szCs w:val="20"/>
              </w:rPr>
              <w:t>B</w:t>
            </w:r>
            <w:r w:rsidR="009C10FE" w:rsidRPr="00224305">
              <w:rPr>
                <w:b/>
                <w:i/>
                <w:sz w:val="20"/>
                <w:szCs w:val="20"/>
              </w:rPr>
              <w:t>y-laws fixing their compensation, the directors shall not receive any compensation, as such directors, except for reasonable per diems: Provided, however, That any such compensation other than per diems may be granted to directors by the vote of the stockholders representing at least a majority of the outstanding capital stock at a regular or special stockholders' meeting. In no case shall the total yearly compensation of directors, as such directors, exceed ten (10%) percent of the net income before income tax of the corporation during the preceding year.</w:t>
            </w:r>
            <w:r>
              <w:rPr>
                <w:b/>
                <w:i/>
                <w:sz w:val="20"/>
                <w:szCs w:val="20"/>
              </w:rPr>
              <w:t>”</w:t>
            </w:r>
          </w:p>
          <w:p w:rsidR="004B17C4" w:rsidRPr="00C17C90" w:rsidRDefault="004B17C4" w:rsidP="00B66C1D">
            <w:pPr>
              <w:rPr>
                <w:b/>
                <w:sz w:val="20"/>
                <w:szCs w:val="20"/>
              </w:rPr>
            </w:pPr>
          </w:p>
        </w:tc>
      </w:tr>
      <w:tr w:rsidR="000800FB" w:rsidTr="00DB582D">
        <w:tc>
          <w:tcPr>
            <w:tcW w:w="1098" w:type="dxa"/>
          </w:tcPr>
          <w:p w:rsidR="000800FB" w:rsidRDefault="000800FB">
            <w:pPr>
              <w:rPr>
                <w:rFonts w:ascii="Calibri" w:hAnsi="Calibri"/>
                <w:sz w:val="20"/>
                <w:szCs w:val="20"/>
              </w:rPr>
            </w:pPr>
            <w:r>
              <w:rPr>
                <w:rFonts w:ascii="Calibri" w:hAnsi="Calibri"/>
                <w:sz w:val="20"/>
                <w:szCs w:val="20"/>
              </w:rPr>
              <w:t>A.3.2</w:t>
            </w:r>
          </w:p>
        </w:tc>
        <w:tc>
          <w:tcPr>
            <w:tcW w:w="4748" w:type="dxa"/>
            <w:shd w:val="clear" w:color="auto" w:fill="auto"/>
          </w:tcPr>
          <w:p w:rsidR="000800FB" w:rsidRDefault="000800FB">
            <w:pPr>
              <w:rPr>
                <w:rFonts w:ascii="Calibri" w:hAnsi="Calibri"/>
                <w:sz w:val="20"/>
                <w:szCs w:val="20"/>
              </w:rPr>
            </w:pPr>
            <w:r w:rsidRPr="00DB582D">
              <w:rPr>
                <w:rFonts w:ascii="Calibri" w:hAnsi="Calibri"/>
                <w:sz w:val="20"/>
                <w:szCs w:val="20"/>
              </w:rPr>
              <w:t>Does the company provide non-controlling shareholders a right to nominate candidates for board of directors/commissioners?</w:t>
            </w:r>
          </w:p>
        </w:tc>
        <w:tc>
          <w:tcPr>
            <w:tcW w:w="4079" w:type="dxa"/>
            <w:vMerge/>
            <w:vAlign w:val="center"/>
          </w:tcPr>
          <w:p w:rsidR="000800FB" w:rsidRDefault="000800FB">
            <w:pPr>
              <w:rPr>
                <w:rFonts w:ascii="Calibri" w:hAnsi="Calibri"/>
                <w:sz w:val="20"/>
                <w:szCs w:val="20"/>
              </w:rPr>
            </w:pPr>
          </w:p>
        </w:tc>
        <w:tc>
          <w:tcPr>
            <w:tcW w:w="1170" w:type="dxa"/>
            <w:vAlign w:val="center"/>
          </w:tcPr>
          <w:p w:rsidR="000800FB" w:rsidRDefault="00CA351F">
            <w:pPr>
              <w:jc w:val="center"/>
              <w:rPr>
                <w:rFonts w:ascii="Calibri" w:hAnsi="Calibri"/>
                <w:sz w:val="20"/>
                <w:szCs w:val="20"/>
              </w:rPr>
            </w:pPr>
            <w:r>
              <w:rPr>
                <w:rFonts w:ascii="Calibri" w:hAnsi="Calibri"/>
                <w:sz w:val="20"/>
                <w:szCs w:val="20"/>
              </w:rPr>
              <w:t>Y</w:t>
            </w:r>
          </w:p>
        </w:tc>
        <w:tc>
          <w:tcPr>
            <w:tcW w:w="4305" w:type="dxa"/>
          </w:tcPr>
          <w:p w:rsidR="000800FB" w:rsidRDefault="000800FB">
            <w:pPr>
              <w:rPr>
                <w:b/>
                <w:sz w:val="20"/>
                <w:szCs w:val="20"/>
              </w:rPr>
            </w:pPr>
          </w:p>
          <w:p w:rsidR="00DB582D" w:rsidRDefault="009765A8">
            <w:pPr>
              <w:rPr>
                <w:b/>
                <w:sz w:val="20"/>
                <w:szCs w:val="20"/>
              </w:rPr>
            </w:pPr>
            <w:hyperlink r:id="rId13" w:history="1">
              <w:r w:rsidR="00DB582D" w:rsidRPr="00DB582D">
                <w:rPr>
                  <w:rStyle w:val="Hyperlink"/>
                  <w:b/>
                  <w:sz w:val="20"/>
                  <w:szCs w:val="20"/>
                </w:rPr>
                <w:t>By-Laws</w:t>
              </w:r>
            </w:hyperlink>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A.3.3</w:t>
            </w:r>
          </w:p>
        </w:tc>
        <w:tc>
          <w:tcPr>
            <w:tcW w:w="4748" w:type="dxa"/>
          </w:tcPr>
          <w:p w:rsidR="000800FB" w:rsidRDefault="000800FB">
            <w:pPr>
              <w:rPr>
                <w:rFonts w:ascii="Calibri" w:hAnsi="Calibri"/>
                <w:sz w:val="20"/>
                <w:szCs w:val="20"/>
              </w:rPr>
            </w:pPr>
            <w:r>
              <w:rPr>
                <w:rFonts w:ascii="Calibri" w:hAnsi="Calibri"/>
                <w:sz w:val="20"/>
                <w:szCs w:val="20"/>
              </w:rPr>
              <w:t>Does the company allow shareholders to elect directors/commissioners individually?</w:t>
            </w:r>
          </w:p>
        </w:tc>
        <w:tc>
          <w:tcPr>
            <w:tcW w:w="4079" w:type="dxa"/>
            <w:vMerge/>
            <w:vAlign w:val="center"/>
          </w:tcPr>
          <w:p w:rsidR="000800FB" w:rsidRDefault="000800FB">
            <w:pPr>
              <w:rPr>
                <w:rFonts w:ascii="Calibri" w:hAnsi="Calibri"/>
                <w:sz w:val="20"/>
                <w:szCs w:val="20"/>
              </w:rPr>
            </w:pPr>
          </w:p>
        </w:tc>
        <w:tc>
          <w:tcPr>
            <w:tcW w:w="1170" w:type="dxa"/>
            <w:vAlign w:val="center"/>
          </w:tcPr>
          <w:p w:rsidR="000800FB" w:rsidRDefault="00ED372D">
            <w:pPr>
              <w:jc w:val="center"/>
              <w:rPr>
                <w:rFonts w:ascii="Calibri" w:hAnsi="Calibri"/>
                <w:sz w:val="20"/>
                <w:szCs w:val="20"/>
              </w:rPr>
            </w:pPr>
            <w:r>
              <w:rPr>
                <w:rFonts w:ascii="Calibri" w:hAnsi="Calibri"/>
                <w:sz w:val="20"/>
                <w:szCs w:val="20"/>
              </w:rPr>
              <w:t>Y</w:t>
            </w:r>
          </w:p>
        </w:tc>
        <w:tc>
          <w:tcPr>
            <w:tcW w:w="4305" w:type="dxa"/>
          </w:tcPr>
          <w:p w:rsidR="000800FB" w:rsidRDefault="00ED372D" w:rsidP="00CD6C5A">
            <w:pPr>
              <w:rPr>
                <w:b/>
                <w:sz w:val="20"/>
                <w:szCs w:val="20"/>
              </w:rPr>
            </w:pPr>
            <w:r>
              <w:rPr>
                <w:b/>
                <w:sz w:val="20"/>
                <w:szCs w:val="20"/>
              </w:rPr>
              <w:t xml:space="preserve">Under the </w:t>
            </w:r>
            <w:hyperlink r:id="rId14" w:history="1">
              <w:r w:rsidRPr="00E53FEE">
                <w:rPr>
                  <w:rStyle w:val="Hyperlink"/>
                  <w:b/>
                  <w:sz w:val="20"/>
                  <w:szCs w:val="20"/>
                </w:rPr>
                <w:t>Sec. 3, Art. III of the Corporation’s</w:t>
              </w:r>
              <w:r w:rsidR="00CD6C5A" w:rsidRPr="00E53FEE">
                <w:rPr>
                  <w:rStyle w:val="Hyperlink"/>
                  <w:b/>
                  <w:sz w:val="20"/>
                  <w:szCs w:val="20"/>
                </w:rPr>
                <w:t xml:space="preserve"> By-Laws</w:t>
              </w:r>
            </w:hyperlink>
            <w:r w:rsidR="00CD6C5A">
              <w:rPr>
                <w:b/>
                <w:sz w:val="20"/>
                <w:szCs w:val="20"/>
              </w:rPr>
              <w:t>,</w:t>
            </w:r>
            <w:r>
              <w:rPr>
                <w:b/>
                <w:sz w:val="20"/>
                <w:szCs w:val="20"/>
              </w:rPr>
              <w:t xml:space="preserve"> </w:t>
            </w:r>
            <w:r w:rsidR="00CD6C5A">
              <w:rPr>
                <w:b/>
                <w:sz w:val="20"/>
                <w:szCs w:val="20"/>
              </w:rPr>
              <w:t>“</w:t>
            </w:r>
            <w:r w:rsidR="00CD6C5A" w:rsidRPr="001B4018">
              <w:rPr>
                <w:b/>
                <w:i/>
                <w:sz w:val="20"/>
                <w:szCs w:val="20"/>
              </w:rPr>
              <w:t>at each election of directors, every stockholder entitled to vote at such election shall have the right to vote, in person or by proxy the number of shares owned by him for as many persons as there are directors to be elected and for whose election he has a right to vote, or to cumulate his votes by giving one candidate as many votes as the number of such directors multiplied by the number of his shares shall equal, or by distributing such votes on the same principle among any number of candidates</w:t>
            </w:r>
            <w:r w:rsidR="00CD6C5A">
              <w:rPr>
                <w:b/>
                <w:sz w:val="20"/>
                <w:szCs w:val="20"/>
              </w:rPr>
              <w:t>.”</w:t>
            </w:r>
          </w:p>
          <w:p w:rsidR="003B5688" w:rsidRDefault="003B5688" w:rsidP="00E53FEE">
            <w:pPr>
              <w:rPr>
                <w:b/>
                <w:sz w:val="20"/>
                <w:szCs w:val="20"/>
              </w:rPr>
            </w:pPr>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A.3.4</w:t>
            </w:r>
          </w:p>
        </w:tc>
        <w:tc>
          <w:tcPr>
            <w:tcW w:w="4748" w:type="dxa"/>
          </w:tcPr>
          <w:p w:rsidR="000800FB" w:rsidRDefault="000800FB">
            <w:pPr>
              <w:rPr>
                <w:rFonts w:ascii="Calibri" w:hAnsi="Calibri"/>
                <w:sz w:val="20"/>
                <w:szCs w:val="20"/>
              </w:rPr>
            </w:pPr>
            <w:r>
              <w:rPr>
                <w:rFonts w:ascii="Calibri" w:hAnsi="Calibri"/>
                <w:sz w:val="20"/>
                <w:szCs w:val="20"/>
              </w:rPr>
              <w:t>Does the company disclose the voting and vote tabulation procedures used, declaring both before the meeting proceeds?</w:t>
            </w:r>
          </w:p>
        </w:tc>
        <w:tc>
          <w:tcPr>
            <w:tcW w:w="4079" w:type="dxa"/>
          </w:tcPr>
          <w:p w:rsidR="000800FB" w:rsidRDefault="000800FB">
            <w:pPr>
              <w:rPr>
                <w:rFonts w:ascii="Calibri" w:hAnsi="Calibri"/>
                <w:sz w:val="20"/>
                <w:szCs w:val="20"/>
              </w:rPr>
            </w:pPr>
            <w:r>
              <w:rPr>
                <w:rFonts w:ascii="Calibri" w:hAnsi="Calibri"/>
                <w:b/>
                <w:bCs/>
                <w:sz w:val="20"/>
                <w:szCs w:val="20"/>
              </w:rPr>
              <w:t>OECD Principle II (C)</w:t>
            </w:r>
            <w:r>
              <w:rPr>
                <w:rFonts w:ascii="Calibri" w:hAnsi="Calibri"/>
                <w:sz w:val="20"/>
                <w:szCs w:val="20"/>
              </w:rPr>
              <w:t xml:space="preserve">: </w:t>
            </w:r>
            <w:r>
              <w:rPr>
                <w:rFonts w:ascii="Calibri" w:hAnsi="Calibri"/>
                <w:sz w:val="20"/>
                <w:szCs w:val="20"/>
              </w:rPr>
              <w:br/>
              <w:t xml:space="preserve">Shareholders should have the opportunity to participate effectively and vote in general shareholder meetings and should be informed of the rules, including voting </w:t>
            </w:r>
            <w:r w:rsidR="004C51AC">
              <w:rPr>
                <w:rFonts w:ascii="Calibri" w:hAnsi="Calibri"/>
                <w:sz w:val="20"/>
                <w:szCs w:val="20"/>
              </w:rPr>
              <w:t>procedures that</w:t>
            </w:r>
            <w:r>
              <w:rPr>
                <w:rFonts w:ascii="Calibri" w:hAnsi="Calibri"/>
                <w:sz w:val="20"/>
                <w:szCs w:val="20"/>
              </w:rPr>
              <w:t xml:space="preserve"> </w:t>
            </w:r>
            <w:r>
              <w:rPr>
                <w:rFonts w:ascii="Calibri" w:hAnsi="Calibri"/>
                <w:sz w:val="20"/>
                <w:szCs w:val="20"/>
              </w:rPr>
              <w:lastRenderedPageBreak/>
              <w:t>govern general shareholder meetings.</w:t>
            </w:r>
          </w:p>
        </w:tc>
        <w:tc>
          <w:tcPr>
            <w:tcW w:w="1170" w:type="dxa"/>
            <w:vAlign w:val="center"/>
          </w:tcPr>
          <w:p w:rsidR="000800FB" w:rsidRDefault="00750237">
            <w:pPr>
              <w:jc w:val="center"/>
              <w:rPr>
                <w:rFonts w:ascii="Calibri" w:hAnsi="Calibri"/>
                <w:sz w:val="20"/>
                <w:szCs w:val="20"/>
              </w:rPr>
            </w:pPr>
            <w:r>
              <w:rPr>
                <w:rFonts w:ascii="Calibri" w:hAnsi="Calibri"/>
                <w:sz w:val="20"/>
                <w:szCs w:val="20"/>
              </w:rPr>
              <w:lastRenderedPageBreak/>
              <w:t>Y</w:t>
            </w:r>
          </w:p>
        </w:tc>
        <w:tc>
          <w:tcPr>
            <w:tcW w:w="4305" w:type="dxa"/>
          </w:tcPr>
          <w:p w:rsidR="000800FB" w:rsidRDefault="00E53FEE" w:rsidP="003B5688">
            <w:pPr>
              <w:rPr>
                <w:b/>
                <w:sz w:val="20"/>
                <w:szCs w:val="20"/>
              </w:rPr>
            </w:pPr>
            <w:r>
              <w:rPr>
                <w:b/>
                <w:sz w:val="20"/>
                <w:szCs w:val="20"/>
              </w:rPr>
              <w:t>The Company</w:t>
            </w:r>
            <w:r w:rsidR="003B5688">
              <w:rPr>
                <w:b/>
                <w:sz w:val="20"/>
                <w:szCs w:val="20"/>
              </w:rPr>
              <w:t xml:space="preserve"> is very open on its voting procedures and tabulation and shall likewise implement its disclosure bef</w:t>
            </w:r>
            <w:r>
              <w:rPr>
                <w:b/>
                <w:sz w:val="20"/>
                <w:szCs w:val="20"/>
              </w:rPr>
              <w:t xml:space="preserve">ore the start of every meeting on its </w:t>
            </w:r>
            <w:hyperlink r:id="rId15" w:history="1">
              <w:r w:rsidRPr="00E53FEE">
                <w:rPr>
                  <w:rStyle w:val="Hyperlink"/>
                  <w:b/>
                  <w:sz w:val="20"/>
                  <w:szCs w:val="20"/>
                </w:rPr>
                <w:t>website</w:t>
              </w:r>
            </w:hyperlink>
            <w:r>
              <w:rPr>
                <w:b/>
                <w:sz w:val="20"/>
                <w:szCs w:val="20"/>
              </w:rPr>
              <w:t>.</w:t>
            </w:r>
          </w:p>
          <w:p w:rsidR="003B5688" w:rsidRDefault="003B5688" w:rsidP="003B5688">
            <w:pPr>
              <w:rPr>
                <w:b/>
                <w:sz w:val="20"/>
                <w:szCs w:val="20"/>
              </w:rPr>
            </w:pPr>
          </w:p>
          <w:p w:rsidR="003B5688" w:rsidRDefault="003B5688" w:rsidP="00E53FEE">
            <w:pPr>
              <w:rPr>
                <w:b/>
                <w:sz w:val="20"/>
                <w:szCs w:val="20"/>
              </w:rPr>
            </w:pPr>
          </w:p>
        </w:tc>
      </w:tr>
      <w:tr w:rsidR="000800FB" w:rsidTr="00652A1A">
        <w:tc>
          <w:tcPr>
            <w:tcW w:w="1098" w:type="dxa"/>
          </w:tcPr>
          <w:p w:rsidR="000800FB" w:rsidRDefault="000800FB">
            <w:pPr>
              <w:rPr>
                <w:rFonts w:ascii="Calibri" w:hAnsi="Calibri"/>
                <w:sz w:val="20"/>
                <w:szCs w:val="20"/>
              </w:rPr>
            </w:pPr>
            <w:r>
              <w:rPr>
                <w:rFonts w:ascii="Calibri" w:hAnsi="Calibri"/>
                <w:sz w:val="20"/>
                <w:szCs w:val="20"/>
              </w:rPr>
              <w:lastRenderedPageBreak/>
              <w:t>A.3.5</w:t>
            </w:r>
          </w:p>
        </w:tc>
        <w:tc>
          <w:tcPr>
            <w:tcW w:w="4748" w:type="dxa"/>
          </w:tcPr>
          <w:p w:rsidR="000800FB" w:rsidRDefault="000800FB">
            <w:pPr>
              <w:rPr>
                <w:rFonts w:ascii="Calibri" w:hAnsi="Calibri"/>
                <w:sz w:val="20"/>
                <w:szCs w:val="20"/>
              </w:rPr>
            </w:pPr>
            <w:r>
              <w:rPr>
                <w:rFonts w:ascii="Calibri" w:hAnsi="Calibri"/>
                <w:sz w:val="20"/>
                <w:szCs w:val="20"/>
              </w:rPr>
              <w:t>Do the minutes of the most recent AGM record that there was an opportunity allowing for shareholders to ask questions or raise issues?</w:t>
            </w:r>
          </w:p>
        </w:tc>
        <w:tc>
          <w:tcPr>
            <w:tcW w:w="4079" w:type="dxa"/>
            <w:vMerge w:val="restart"/>
          </w:tcPr>
          <w:p w:rsidR="000800FB" w:rsidRDefault="000800FB">
            <w:pPr>
              <w:rPr>
                <w:rFonts w:ascii="Calibri" w:hAnsi="Calibri"/>
                <w:sz w:val="20"/>
                <w:szCs w:val="20"/>
              </w:rPr>
            </w:pPr>
            <w:r>
              <w:rPr>
                <w:rFonts w:ascii="Calibri" w:hAnsi="Calibri"/>
                <w:b/>
                <w:bCs/>
                <w:sz w:val="20"/>
                <w:szCs w:val="20"/>
              </w:rPr>
              <w:t>OECD Principle II (C)</w:t>
            </w:r>
            <w:r>
              <w:rPr>
                <w:rFonts w:ascii="Calibri" w:hAnsi="Calibri"/>
                <w:sz w:val="20"/>
                <w:szCs w:val="20"/>
              </w:rPr>
              <w:t xml:space="preserve">: </w:t>
            </w:r>
            <w:r>
              <w:rPr>
                <w:rFonts w:ascii="Calibri" w:hAnsi="Calibri"/>
                <w:sz w:val="20"/>
                <w:szCs w:val="20"/>
              </w:rPr>
              <w:br/>
              <w:t>(2) Shareholders should have the opportunity to ask questions to the board, including questions relating to the annual external audit, to place items on the agenda of general meetings, and to propose resolutions, subject to reasonable limitations.</w:t>
            </w:r>
          </w:p>
        </w:tc>
        <w:tc>
          <w:tcPr>
            <w:tcW w:w="1170" w:type="dxa"/>
            <w:vAlign w:val="center"/>
          </w:tcPr>
          <w:p w:rsidR="000800FB" w:rsidRDefault="00750237">
            <w:pPr>
              <w:jc w:val="center"/>
              <w:rPr>
                <w:rFonts w:ascii="Calibri" w:hAnsi="Calibri"/>
                <w:sz w:val="20"/>
                <w:szCs w:val="20"/>
              </w:rPr>
            </w:pPr>
            <w:r>
              <w:rPr>
                <w:rFonts w:ascii="Calibri" w:hAnsi="Calibri"/>
                <w:sz w:val="20"/>
                <w:szCs w:val="20"/>
              </w:rPr>
              <w:t>Y</w:t>
            </w:r>
          </w:p>
        </w:tc>
        <w:tc>
          <w:tcPr>
            <w:tcW w:w="4305" w:type="dxa"/>
          </w:tcPr>
          <w:p w:rsidR="000800FB" w:rsidRDefault="00042875">
            <w:pPr>
              <w:rPr>
                <w:b/>
                <w:sz w:val="20"/>
                <w:szCs w:val="20"/>
              </w:rPr>
            </w:pPr>
            <w:r>
              <w:rPr>
                <w:b/>
                <w:sz w:val="20"/>
                <w:szCs w:val="20"/>
              </w:rPr>
              <w:t xml:space="preserve">The </w:t>
            </w:r>
            <w:hyperlink r:id="rId16" w:history="1">
              <w:r w:rsidRPr="00042875">
                <w:rPr>
                  <w:rStyle w:val="Hyperlink"/>
                  <w:b/>
                  <w:sz w:val="20"/>
                  <w:szCs w:val="20"/>
                </w:rPr>
                <w:t>most recent AGM</w:t>
              </w:r>
            </w:hyperlink>
            <w:r>
              <w:rPr>
                <w:b/>
                <w:sz w:val="20"/>
                <w:szCs w:val="20"/>
              </w:rPr>
              <w:t xml:space="preserve"> of the company shows</w:t>
            </w:r>
            <w:r w:rsidR="00750237">
              <w:rPr>
                <w:b/>
                <w:sz w:val="20"/>
                <w:szCs w:val="20"/>
              </w:rPr>
              <w:t xml:space="preserve"> that each shareholder has the opportunity to raise issues and/or ask question</w:t>
            </w:r>
            <w:r w:rsidR="00B27E88">
              <w:rPr>
                <w:b/>
                <w:sz w:val="20"/>
                <w:szCs w:val="20"/>
              </w:rPr>
              <w:t>s</w:t>
            </w:r>
            <w:r w:rsidR="00750237">
              <w:rPr>
                <w:b/>
                <w:sz w:val="20"/>
                <w:szCs w:val="20"/>
              </w:rPr>
              <w:t xml:space="preserve"> relative to the issues stated on the agenda.</w:t>
            </w:r>
          </w:p>
          <w:p w:rsidR="00F30E62" w:rsidRDefault="00F30E62" w:rsidP="00042875">
            <w:pPr>
              <w:rPr>
                <w:b/>
                <w:sz w:val="20"/>
                <w:szCs w:val="20"/>
              </w:rPr>
            </w:pPr>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A.3.6</w:t>
            </w:r>
          </w:p>
        </w:tc>
        <w:tc>
          <w:tcPr>
            <w:tcW w:w="4748" w:type="dxa"/>
          </w:tcPr>
          <w:p w:rsidR="000800FB" w:rsidRDefault="000800FB">
            <w:pPr>
              <w:rPr>
                <w:rFonts w:ascii="Calibri" w:hAnsi="Calibri"/>
                <w:sz w:val="20"/>
                <w:szCs w:val="20"/>
              </w:rPr>
            </w:pPr>
            <w:r>
              <w:rPr>
                <w:rFonts w:ascii="Calibri" w:hAnsi="Calibri"/>
                <w:sz w:val="20"/>
                <w:szCs w:val="20"/>
              </w:rPr>
              <w:t>Do the minutes of the most recent AGM record questions and answers?</w:t>
            </w:r>
          </w:p>
        </w:tc>
        <w:tc>
          <w:tcPr>
            <w:tcW w:w="4079" w:type="dxa"/>
            <w:vMerge/>
            <w:vAlign w:val="center"/>
          </w:tcPr>
          <w:p w:rsidR="000800FB" w:rsidRDefault="000800FB">
            <w:pPr>
              <w:rPr>
                <w:rFonts w:ascii="Calibri" w:hAnsi="Calibri"/>
                <w:sz w:val="20"/>
                <w:szCs w:val="20"/>
              </w:rPr>
            </w:pPr>
          </w:p>
        </w:tc>
        <w:tc>
          <w:tcPr>
            <w:tcW w:w="1170" w:type="dxa"/>
            <w:vAlign w:val="center"/>
          </w:tcPr>
          <w:p w:rsidR="000800FB" w:rsidRDefault="00DF6714">
            <w:pPr>
              <w:jc w:val="center"/>
              <w:rPr>
                <w:rFonts w:ascii="Calibri" w:hAnsi="Calibri"/>
                <w:sz w:val="20"/>
                <w:szCs w:val="20"/>
              </w:rPr>
            </w:pPr>
            <w:r>
              <w:rPr>
                <w:rFonts w:ascii="Calibri" w:hAnsi="Calibri"/>
                <w:sz w:val="20"/>
                <w:szCs w:val="20"/>
              </w:rPr>
              <w:t>Y</w:t>
            </w:r>
          </w:p>
        </w:tc>
        <w:tc>
          <w:tcPr>
            <w:tcW w:w="4305" w:type="dxa"/>
          </w:tcPr>
          <w:p w:rsidR="000800FB" w:rsidRDefault="00DF6714">
            <w:pPr>
              <w:rPr>
                <w:b/>
                <w:sz w:val="20"/>
                <w:szCs w:val="20"/>
              </w:rPr>
            </w:pPr>
            <w:r>
              <w:rPr>
                <w:b/>
                <w:sz w:val="20"/>
                <w:szCs w:val="20"/>
              </w:rPr>
              <w:t xml:space="preserve">The </w:t>
            </w:r>
            <w:hyperlink r:id="rId17" w:history="1">
              <w:r w:rsidR="001F245A" w:rsidRPr="00042875">
                <w:rPr>
                  <w:rStyle w:val="Hyperlink"/>
                  <w:b/>
                  <w:sz w:val="20"/>
                  <w:szCs w:val="20"/>
                </w:rPr>
                <w:t xml:space="preserve">most </w:t>
              </w:r>
              <w:r w:rsidRPr="00042875">
                <w:rPr>
                  <w:rStyle w:val="Hyperlink"/>
                  <w:b/>
                  <w:sz w:val="20"/>
                  <w:szCs w:val="20"/>
                </w:rPr>
                <w:t>recent AGM</w:t>
              </w:r>
            </w:hyperlink>
            <w:r>
              <w:rPr>
                <w:b/>
                <w:sz w:val="20"/>
                <w:szCs w:val="20"/>
              </w:rPr>
              <w:t xml:space="preserve"> minutes records the </w:t>
            </w:r>
            <w:r w:rsidR="00D92005">
              <w:rPr>
                <w:b/>
                <w:sz w:val="20"/>
                <w:szCs w:val="20"/>
              </w:rPr>
              <w:t xml:space="preserve">raised </w:t>
            </w:r>
            <w:r>
              <w:rPr>
                <w:b/>
                <w:sz w:val="20"/>
                <w:szCs w:val="20"/>
              </w:rPr>
              <w:t xml:space="preserve">questions </w:t>
            </w:r>
            <w:r w:rsidR="007E46A8">
              <w:rPr>
                <w:b/>
                <w:sz w:val="20"/>
                <w:szCs w:val="20"/>
              </w:rPr>
              <w:t xml:space="preserve">with </w:t>
            </w:r>
            <w:r>
              <w:rPr>
                <w:b/>
                <w:sz w:val="20"/>
                <w:szCs w:val="20"/>
              </w:rPr>
              <w:t>its corresponding answers.</w:t>
            </w:r>
          </w:p>
          <w:p w:rsidR="00F30E62" w:rsidRDefault="00F30E62" w:rsidP="00042875">
            <w:pPr>
              <w:rPr>
                <w:b/>
                <w:sz w:val="20"/>
                <w:szCs w:val="20"/>
              </w:rPr>
            </w:pPr>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A.3.7</w:t>
            </w:r>
          </w:p>
        </w:tc>
        <w:tc>
          <w:tcPr>
            <w:tcW w:w="4748" w:type="dxa"/>
          </w:tcPr>
          <w:p w:rsidR="000800FB" w:rsidRDefault="000800FB">
            <w:pPr>
              <w:rPr>
                <w:rFonts w:ascii="Calibri" w:hAnsi="Calibri"/>
                <w:sz w:val="20"/>
                <w:szCs w:val="20"/>
              </w:rPr>
            </w:pPr>
            <w:r>
              <w:rPr>
                <w:rFonts w:ascii="Calibri" w:hAnsi="Calibri"/>
                <w:sz w:val="20"/>
                <w:szCs w:val="20"/>
              </w:rPr>
              <w:t>Does the disclosure of the outcome of the most recent AGM include resolution(s)?</w:t>
            </w:r>
          </w:p>
        </w:tc>
        <w:tc>
          <w:tcPr>
            <w:tcW w:w="4079" w:type="dxa"/>
            <w:vMerge/>
            <w:vAlign w:val="center"/>
          </w:tcPr>
          <w:p w:rsidR="000800FB" w:rsidRDefault="000800FB">
            <w:pPr>
              <w:rPr>
                <w:rFonts w:ascii="Calibri" w:hAnsi="Calibri"/>
                <w:sz w:val="20"/>
                <w:szCs w:val="20"/>
              </w:rPr>
            </w:pPr>
          </w:p>
        </w:tc>
        <w:tc>
          <w:tcPr>
            <w:tcW w:w="1170" w:type="dxa"/>
            <w:vAlign w:val="center"/>
          </w:tcPr>
          <w:p w:rsidR="000800FB" w:rsidRDefault="00351876">
            <w:pPr>
              <w:jc w:val="center"/>
              <w:rPr>
                <w:rFonts w:ascii="Calibri" w:hAnsi="Calibri"/>
                <w:sz w:val="20"/>
                <w:szCs w:val="20"/>
              </w:rPr>
            </w:pPr>
            <w:r>
              <w:rPr>
                <w:rFonts w:ascii="Calibri" w:hAnsi="Calibri"/>
                <w:sz w:val="20"/>
                <w:szCs w:val="20"/>
              </w:rPr>
              <w:t>Y</w:t>
            </w:r>
          </w:p>
        </w:tc>
        <w:tc>
          <w:tcPr>
            <w:tcW w:w="4305" w:type="dxa"/>
          </w:tcPr>
          <w:p w:rsidR="000800FB" w:rsidRDefault="001F245A" w:rsidP="0005345F">
            <w:pPr>
              <w:rPr>
                <w:b/>
                <w:sz w:val="20"/>
                <w:szCs w:val="20"/>
              </w:rPr>
            </w:pPr>
            <w:r>
              <w:rPr>
                <w:b/>
                <w:sz w:val="20"/>
                <w:szCs w:val="20"/>
              </w:rPr>
              <w:t xml:space="preserve">After the </w:t>
            </w:r>
            <w:r w:rsidR="007D0059">
              <w:rPr>
                <w:b/>
                <w:sz w:val="20"/>
                <w:szCs w:val="20"/>
              </w:rPr>
              <w:t>deliberation of</w:t>
            </w:r>
            <w:r w:rsidR="0005345F">
              <w:rPr>
                <w:b/>
                <w:sz w:val="20"/>
                <w:szCs w:val="20"/>
              </w:rPr>
              <w:t xml:space="preserve"> the issues</w:t>
            </w:r>
            <w:r w:rsidR="007D0059">
              <w:rPr>
                <w:b/>
                <w:sz w:val="20"/>
                <w:szCs w:val="20"/>
              </w:rPr>
              <w:t xml:space="preserve"> and recommendations</w:t>
            </w:r>
            <w:r w:rsidR="0005345F">
              <w:rPr>
                <w:b/>
                <w:sz w:val="20"/>
                <w:szCs w:val="20"/>
              </w:rPr>
              <w:t>, the chairman will then confirmed</w:t>
            </w:r>
            <w:r w:rsidR="007D0059">
              <w:rPr>
                <w:b/>
                <w:sz w:val="20"/>
                <w:szCs w:val="20"/>
              </w:rPr>
              <w:t xml:space="preserve"> and approved</w:t>
            </w:r>
            <w:r w:rsidR="0005345F">
              <w:rPr>
                <w:b/>
                <w:sz w:val="20"/>
                <w:szCs w:val="20"/>
              </w:rPr>
              <w:t xml:space="preserve"> </w:t>
            </w:r>
            <w:r w:rsidR="007D0059">
              <w:rPr>
                <w:b/>
                <w:sz w:val="20"/>
                <w:szCs w:val="20"/>
              </w:rPr>
              <w:t xml:space="preserve">the outcome </w:t>
            </w:r>
            <w:r w:rsidR="0005345F">
              <w:rPr>
                <w:b/>
                <w:sz w:val="20"/>
                <w:szCs w:val="20"/>
              </w:rPr>
              <w:t>by passing a resolution</w:t>
            </w:r>
            <w:r w:rsidR="003D722C">
              <w:rPr>
                <w:b/>
                <w:sz w:val="20"/>
                <w:szCs w:val="20"/>
              </w:rPr>
              <w:t>(s)</w:t>
            </w:r>
            <w:r w:rsidR="0005345F">
              <w:rPr>
                <w:b/>
                <w:sz w:val="20"/>
                <w:szCs w:val="20"/>
              </w:rPr>
              <w:t xml:space="preserve"> as stated on the </w:t>
            </w:r>
            <w:hyperlink r:id="rId18" w:history="1">
              <w:r w:rsidRPr="00042875">
                <w:rPr>
                  <w:rStyle w:val="Hyperlink"/>
                  <w:b/>
                  <w:sz w:val="20"/>
                  <w:szCs w:val="20"/>
                </w:rPr>
                <w:t>most recent AGM</w:t>
              </w:r>
            </w:hyperlink>
            <w:r>
              <w:rPr>
                <w:b/>
                <w:sz w:val="20"/>
                <w:szCs w:val="20"/>
              </w:rPr>
              <w:t xml:space="preserve"> </w:t>
            </w:r>
            <w:r w:rsidR="0005345F">
              <w:rPr>
                <w:b/>
                <w:sz w:val="20"/>
                <w:szCs w:val="20"/>
              </w:rPr>
              <w:t>minutes.</w:t>
            </w:r>
          </w:p>
          <w:p w:rsidR="00F30E62" w:rsidRDefault="00F30E62" w:rsidP="00042875">
            <w:pPr>
              <w:rPr>
                <w:b/>
                <w:sz w:val="20"/>
                <w:szCs w:val="20"/>
              </w:rPr>
            </w:pPr>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A.3.8</w:t>
            </w:r>
          </w:p>
        </w:tc>
        <w:tc>
          <w:tcPr>
            <w:tcW w:w="4748" w:type="dxa"/>
          </w:tcPr>
          <w:p w:rsidR="000800FB" w:rsidRDefault="000800FB">
            <w:pPr>
              <w:rPr>
                <w:rFonts w:ascii="Calibri" w:hAnsi="Calibri"/>
                <w:sz w:val="20"/>
                <w:szCs w:val="20"/>
              </w:rPr>
            </w:pPr>
            <w:r w:rsidRPr="00DB582D">
              <w:rPr>
                <w:rFonts w:ascii="Calibri" w:hAnsi="Calibri"/>
                <w:sz w:val="20"/>
                <w:szCs w:val="20"/>
              </w:rPr>
              <w:t>Does the company disclose the voting results including approving, dissenting, and abstaining votes for each agenda item for the most recent AGM?</w:t>
            </w:r>
          </w:p>
        </w:tc>
        <w:tc>
          <w:tcPr>
            <w:tcW w:w="4079" w:type="dxa"/>
            <w:vMerge/>
            <w:vAlign w:val="center"/>
          </w:tcPr>
          <w:p w:rsidR="000800FB" w:rsidRDefault="000800FB">
            <w:pPr>
              <w:rPr>
                <w:rFonts w:ascii="Calibri" w:hAnsi="Calibri"/>
                <w:sz w:val="20"/>
                <w:szCs w:val="20"/>
              </w:rPr>
            </w:pPr>
          </w:p>
        </w:tc>
        <w:tc>
          <w:tcPr>
            <w:tcW w:w="1170" w:type="dxa"/>
            <w:vAlign w:val="center"/>
          </w:tcPr>
          <w:p w:rsidR="000800FB" w:rsidRDefault="00DB582D">
            <w:pPr>
              <w:jc w:val="center"/>
              <w:rPr>
                <w:rFonts w:ascii="Calibri" w:hAnsi="Calibri"/>
                <w:sz w:val="20"/>
                <w:szCs w:val="20"/>
              </w:rPr>
            </w:pPr>
            <w:r>
              <w:rPr>
                <w:rFonts w:ascii="Calibri" w:hAnsi="Calibri"/>
                <w:sz w:val="20"/>
                <w:szCs w:val="20"/>
              </w:rPr>
              <w:t>Y</w:t>
            </w:r>
          </w:p>
        </w:tc>
        <w:tc>
          <w:tcPr>
            <w:tcW w:w="4305" w:type="dxa"/>
          </w:tcPr>
          <w:p w:rsidR="000800FB" w:rsidRDefault="00DB582D">
            <w:pPr>
              <w:rPr>
                <w:b/>
                <w:sz w:val="20"/>
                <w:szCs w:val="20"/>
              </w:rPr>
            </w:pPr>
            <w:r>
              <w:rPr>
                <w:b/>
                <w:sz w:val="20"/>
                <w:szCs w:val="20"/>
              </w:rPr>
              <w:br/>
            </w:r>
            <w:hyperlink r:id="rId19" w:history="1">
              <w:r w:rsidRPr="004F3932">
                <w:rPr>
                  <w:rStyle w:val="Hyperlink"/>
                  <w:b/>
                  <w:sz w:val="20"/>
                  <w:szCs w:val="20"/>
                </w:rPr>
                <w:t>Minutes of AGM 2015</w:t>
              </w:r>
            </w:hyperlink>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A.3.9</w:t>
            </w:r>
          </w:p>
        </w:tc>
        <w:tc>
          <w:tcPr>
            <w:tcW w:w="4748" w:type="dxa"/>
          </w:tcPr>
          <w:p w:rsidR="000800FB" w:rsidRDefault="000800FB">
            <w:pPr>
              <w:rPr>
                <w:rFonts w:ascii="Calibri" w:hAnsi="Calibri"/>
                <w:sz w:val="20"/>
                <w:szCs w:val="20"/>
              </w:rPr>
            </w:pPr>
            <w:r>
              <w:rPr>
                <w:rFonts w:ascii="Calibri" w:hAnsi="Calibri"/>
                <w:sz w:val="20"/>
                <w:szCs w:val="20"/>
              </w:rPr>
              <w:t>Does the company disclose the list of board members who attended the most recent AGM?</w:t>
            </w:r>
          </w:p>
        </w:tc>
        <w:tc>
          <w:tcPr>
            <w:tcW w:w="4079" w:type="dxa"/>
            <w:vMerge w:val="restart"/>
          </w:tcPr>
          <w:p w:rsidR="000800FB" w:rsidRDefault="000800FB">
            <w:pPr>
              <w:rPr>
                <w:rFonts w:ascii="Calibri" w:hAnsi="Calibri"/>
                <w:sz w:val="20"/>
                <w:szCs w:val="20"/>
              </w:rPr>
            </w:pPr>
            <w:r>
              <w:rPr>
                <w:rFonts w:ascii="Calibri" w:hAnsi="Calibri"/>
                <w:b/>
                <w:bCs/>
                <w:sz w:val="20"/>
                <w:szCs w:val="20"/>
              </w:rPr>
              <w:t>OECD Principle II (C); and</w:t>
            </w:r>
            <w:r>
              <w:rPr>
                <w:rFonts w:ascii="Calibri" w:hAnsi="Calibri"/>
                <w:b/>
                <w:bCs/>
                <w:sz w:val="20"/>
                <w:szCs w:val="20"/>
              </w:rPr>
              <w:br/>
              <w:t xml:space="preserve"> </w:t>
            </w:r>
            <w:r>
              <w:rPr>
                <w:rFonts w:ascii="Calibri" w:hAnsi="Calibri"/>
                <w:b/>
                <w:bCs/>
                <w:sz w:val="20"/>
                <w:szCs w:val="20"/>
              </w:rPr>
              <w:br/>
              <w:t>ICGN 2.4.2</w:t>
            </w:r>
            <w:r>
              <w:rPr>
                <w:rFonts w:ascii="Calibri" w:hAnsi="Calibri"/>
                <w:sz w:val="20"/>
                <w:szCs w:val="20"/>
              </w:rPr>
              <w:t xml:space="preserve">: </w:t>
            </w:r>
            <w:r>
              <w:rPr>
                <w:rFonts w:ascii="Calibri" w:hAnsi="Calibri"/>
                <w:sz w:val="20"/>
                <w:szCs w:val="20"/>
              </w:rPr>
              <w:br/>
              <w:t xml:space="preserve">All directors need to be able to allocate sufficient time to the board to perform their responsibilities effectively, including allowing some leeway for occasions when greater than usual time demands are made. </w:t>
            </w:r>
          </w:p>
        </w:tc>
        <w:tc>
          <w:tcPr>
            <w:tcW w:w="1170" w:type="dxa"/>
            <w:vAlign w:val="center"/>
          </w:tcPr>
          <w:p w:rsidR="000800FB" w:rsidRDefault="00162526">
            <w:pPr>
              <w:jc w:val="center"/>
              <w:rPr>
                <w:rFonts w:ascii="Calibri" w:hAnsi="Calibri"/>
                <w:sz w:val="20"/>
                <w:szCs w:val="20"/>
              </w:rPr>
            </w:pPr>
            <w:r>
              <w:rPr>
                <w:rFonts w:ascii="Calibri" w:hAnsi="Calibri"/>
                <w:sz w:val="20"/>
                <w:szCs w:val="20"/>
              </w:rPr>
              <w:t>Y</w:t>
            </w:r>
          </w:p>
        </w:tc>
        <w:tc>
          <w:tcPr>
            <w:tcW w:w="4305" w:type="dxa"/>
          </w:tcPr>
          <w:p w:rsidR="00406344" w:rsidRDefault="00406344" w:rsidP="00406344">
            <w:pPr>
              <w:rPr>
                <w:b/>
                <w:sz w:val="20"/>
                <w:szCs w:val="20"/>
              </w:rPr>
            </w:pPr>
            <w:r>
              <w:rPr>
                <w:b/>
                <w:sz w:val="20"/>
                <w:szCs w:val="20"/>
              </w:rPr>
              <w:t xml:space="preserve">The </w:t>
            </w:r>
            <w:r w:rsidR="00F26BA5">
              <w:rPr>
                <w:b/>
                <w:sz w:val="20"/>
                <w:szCs w:val="20"/>
              </w:rPr>
              <w:t>list of names that were</w:t>
            </w:r>
            <w:r w:rsidR="00757D94">
              <w:rPr>
                <w:b/>
                <w:sz w:val="20"/>
                <w:szCs w:val="20"/>
              </w:rPr>
              <w:t xml:space="preserve"> present during the </w:t>
            </w:r>
            <w:hyperlink r:id="rId20" w:history="1">
              <w:r w:rsidRPr="004452A1">
                <w:rPr>
                  <w:rStyle w:val="Hyperlink"/>
                  <w:b/>
                  <w:sz w:val="20"/>
                  <w:szCs w:val="20"/>
                </w:rPr>
                <w:t>most recent AGM (</w:t>
              </w:r>
              <w:r w:rsidR="00701761" w:rsidRPr="004452A1">
                <w:rPr>
                  <w:rStyle w:val="Hyperlink"/>
                  <w:b/>
                  <w:sz w:val="20"/>
                  <w:szCs w:val="20"/>
                </w:rPr>
                <w:t xml:space="preserve">Annual Shareholders </w:t>
              </w:r>
              <w:r w:rsidRPr="004452A1">
                <w:rPr>
                  <w:rStyle w:val="Hyperlink"/>
                  <w:b/>
                  <w:sz w:val="20"/>
                  <w:szCs w:val="20"/>
                </w:rPr>
                <w:t>Meeting – April 27, 2015)</w:t>
              </w:r>
            </w:hyperlink>
            <w:r>
              <w:rPr>
                <w:b/>
                <w:sz w:val="20"/>
                <w:szCs w:val="20"/>
              </w:rPr>
              <w:t xml:space="preserve"> </w:t>
            </w:r>
            <w:r w:rsidR="00F26BA5">
              <w:rPr>
                <w:b/>
                <w:sz w:val="20"/>
                <w:szCs w:val="20"/>
              </w:rPr>
              <w:t>are stated</w:t>
            </w:r>
            <w:r w:rsidR="00757D94">
              <w:rPr>
                <w:b/>
                <w:sz w:val="20"/>
                <w:szCs w:val="20"/>
              </w:rPr>
              <w:t xml:space="preserve"> o</w:t>
            </w:r>
            <w:r>
              <w:rPr>
                <w:b/>
                <w:sz w:val="20"/>
                <w:szCs w:val="20"/>
              </w:rPr>
              <w:t xml:space="preserve">n the </w:t>
            </w:r>
            <w:r w:rsidR="00757D94">
              <w:rPr>
                <w:b/>
                <w:sz w:val="20"/>
                <w:szCs w:val="20"/>
              </w:rPr>
              <w:t>M</w:t>
            </w:r>
            <w:r>
              <w:rPr>
                <w:b/>
                <w:sz w:val="20"/>
                <w:szCs w:val="20"/>
              </w:rPr>
              <w:t>inutes</w:t>
            </w:r>
            <w:r w:rsidR="00F26BA5">
              <w:rPr>
                <w:b/>
                <w:sz w:val="20"/>
                <w:szCs w:val="20"/>
              </w:rPr>
              <w:t xml:space="preserve"> of</w:t>
            </w:r>
            <w:r w:rsidR="00757D94">
              <w:rPr>
                <w:b/>
                <w:sz w:val="20"/>
                <w:szCs w:val="20"/>
              </w:rPr>
              <w:t xml:space="preserve"> Annual Shareholders Meeting (April 27, 2015)</w:t>
            </w:r>
          </w:p>
          <w:p w:rsidR="00F30E62" w:rsidRDefault="00F30E62" w:rsidP="004452A1">
            <w:pPr>
              <w:rPr>
                <w:b/>
                <w:sz w:val="20"/>
                <w:szCs w:val="20"/>
              </w:rPr>
            </w:pPr>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A.3.10</w:t>
            </w:r>
          </w:p>
        </w:tc>
        <w:tc>
          <w:tcPr>
            <w:tcW w:w="4748" w:type="dxa"/>
          </w:tcPr>
          <w:p w:rsidR="000800FB" w:rsidRDefault="000800FB">
            <w:pPr>
              <w:rPr>
                <w:rFonts w:ascii="Calibri" w:hAnsi="Calibri"/>
                <w:sz w:val="20"/>
                <w:szCs w:val="20"/>
              </w:rPr>
            </w:pPr>
            <w:r>
              <w:rPr>
                <w:rFonts w:ascii="Calibri" w:hAnsi="Calibri"/>
                <w:sz w:val="20"/>
                <w:szCs w:val="20"/>
              </w:rPr>
              <w:t>Did the chairman of the board of directors/commissioners attend the most recent AGM?</w:t>
            </w:r>
          </w:p>
        </w:tc>
        <w:tc>
          <w:tcPr>
            <w:tcW w:w="4079" w:type="dxa"/>
            <w:vMerge/>
            <w:vAlign w:val="center"/>
          </w:tcPr>
          <w:p w:rsidR="000800FB" w:rsidRDefault="000800FB">
            <w:pPr>
              <w:rPr>
                <w:rFonts w:ascii="Calibri" w:hAnsi="Calibri"/>
                <w:sz w:val="20"/>
                <w:szCs w:val="20"/>
              </w:rPr>
            </w:pPr>
          </w:p>
        </w:tc>
        <w:tc>
          <w:tcPr>
            <w:tcW w:w="1170" w:type="dxa"/>
            <w:vAlign w:val="center"/>
          </w:tcPr>
          <w:p w:rsidR="000800FB" w:rsidRDefault="00701F26">
            <w:pPr>
              <w:jc w:val="center"/>
              <w:rPr>
                <w:rFonts w:ascii="Calibri" w:hAnsi="Calibri"/>
                <w:sz w:val="20"/>
                <w:szCs w:val="20"/>
              </w:rPr>
            </w:pPr>
            <w:r>
              <w:rPr>
                <w:rFonts w:ascii="Calibri" w:hAnsi="Calibri"/>
                <w:sz w:val="20"/>
                <w:szCs w:val="20"/>
              </w:rPr>
              <w:t>Y</w:t>
            </w:r>
          </w:p>
        </w:tc>
        <w:tc>
          <w:tcPr>
            <w:tcW w:w="4305" w:type="dxa"/>
          </w:tcPr>
          <w:p w:rsidR="000800FB" w:rsidRDefault="00701F26" w:rsidP="00701F26">
            <w:pPr>
              <w:rPr>
                <w:b/>
                <w:sz w:val="20"/>
                <w:szCs w:val="20"/>
              </w:rPr>
            </w:pPr>
            <w:r>
              <w:rPr>
                <w:b/>
                <w:sz w:val="20"/>
                <w:szCs w:val="20"/>
              </w:rPr>
              <w:t xml:space="preserve">Justice Santiago Ranada – Chairman, was present or attended the </w:t>
            </w:r>
            <w:hyperlink r:id="rId21" w:history="1">
              <w:r w:rsidRPr="004452A1">
                <w:rPr>
                  <w:rStyle w:val="Hyperlink"/>
                  <w:b/>
                  <w:sz w:val="20"/>
                  <w:szCs w:val="20"/>
                </w:rPr>
                <w:t>most recent AGM (</w:t>
              </w:r>
              <w:r w:rsidR="00701761" w:rsidRPr="004452A1">
                <w:rPr>
                  <w:rStyle w:val="Hyperlink"/>
                  <w:b/>
                  <w:sz w:val="20"/>
                  <w:szCs w:val="20"/>
                </w:rPr>
                <w:t xml:space="preserve">Annual Shareholders </w:t>
              </w:r>
              <w:r w:rsidRPr="004452A1">
                <w:rPr>
                  <w:rStyle w:val="Hyperlink"/>
                  <w:b/>
                  <w:sz w:val="20"/>
                  <w:szCs w:val="20"/>
                </w:rPr>
                <w:t>Meeting – April 27, 2015).</w:t>
              </w:r>
            </w:hyperlink>
          </w:p>
          <w:p w:rsidR="00F30E62" w:rsidRDefault="00F30E62" w:rsidP="004452A1">
            <w:pPr>
              <w:rPr>
                <w:b/>
                <w:sz w:val="20"/>
                <w:szCs w:val="20"/>
              </w:rPr>
            </w:pPr>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A.3.11</w:t>
            </w:r>
          </w:p>
        </w:tc>
        <w:tc>
          <w:tcPr>
            <w:tcW w:w="4748" w:type="dxa"/>
          </w:tcPr>
          <w:p w:rsidR="000800FB" w:rsidRDefault="000800FB">
            <w:pPr>
              <w:rPr>
                <w:rFonts w:ascii="Calibri" w:hAnsi="Calibri"/>
                <w:sz w:val="20"/>
                <w:szCs w:val="20"/>
              </w:rPr>
            </w:pPr>
            <w:r>
              <w:rPr>
                <w:rFonts w:ascii="Calibri" w:hAnsi="Calibri"/>
                <w:sz w:val="20"/>
                <w:szCs w:val="20"/>
              </w:rPr>
              <w:t>Did the CEO/Managing Director/President attend the most recent AGM?</w:t>
            </w:r>
          </w:p>
        </w:tc>
        <w:tc>
          <w:tcPr>
            <w:tcW w:w="4079" w:type="dxa"/>
            <w:vMerge/>
            <w:vAlign w:val="center"/>
          </w:tcPr>
          <w:p w:rsidR="000800FB" w:rsidRDefault="000800FB">
            <w:pPr>
              <w:rPr>
                <w:rFonts w:ascii="Calibri" w:hAnsi="Calibri"/>
                <w:sz w:val="20"/>
                <w:szCs w:val="20"/>
              </w:rPr>
            </w:pPr>
          </w:p>
        </w:tc>
        <w:tc>
          <w:tcPr>
            <w:tcW w:w="1170" w:type="dxa"/>
            <w:vAlign w:val="center"/>
          </w:tcPr>
          <w:p w:rsidR="000800FB" w:rsidRDefault="00E42D38">
            <w:pPr>
              <w:jc w:val="center"/>
              <w:rPr>
                <w:rFonts w:ascii="Calibri" w:hAnsi="Calibri"/>
                <w:sz w:val="20"/>
                <w:szCs w:val="20"/>
              </w:rPr>
            </w:pPr>
            <w:r>
              <w:rPr>
                <w:rFonts w:ascii="Calibri" w:hAnsi="Calibri"/>
                <w:sz w:val="20"/>
                <w:szCs w:val="20"/>
              </w:rPr>
              <w:t>Y</w:t>
            </w:r>
          </w:p>
        </w:tc>
        <w:tc>
          <w:tcPr>
            <w:tcW w:w="4305" w:type="dxa"/>
          </w:tcPr>
          <w:p w:rsidR="000800FB" w:rsidRDefault="000D4369">
            <w:pPr>
              <w:rPr>
                <w:b/>
                <w:sz w:val="20"/>
                <w:szCs w:val="20"/>
              </w:rPr>
            </w:pPr>
            <w:r>
              <w:rPr>
                <w:b/>
                <w:sz w:val="20"/>
                <w:szCs w:val="20"/>
              </w:rPr>
              <w:t xml:space="preserve">Daniel C. Go – President, was present or attended the </w:t>
            </w:r>
            <w:hyperlink r:id="rId22" w:history="1">
              <w:r w:rsidRPr="004452A1">
                <w:rPr>
                  <w:rStyle w:val="Hyperlink"/>
                  <w:b/>
                  <w:sz w:val="20"/>
                  <w:szCs w:val="20"/>
                </w:rPr>
                <w:t>most recent AGM (</w:t>
              </w:r>
              <w:r w:rsidR="00701761" w:rsidRPr="004452A1">
                <w:rPr>
                  <w:rStyle w:val="Hyperlink"/>
                  <w:b/>
                  <w:sz w:val="20"/>
                  <w:szCs w:val="20"/>
                </w:rPr>
                <w:t xml:space="preserve">Annual Shareholders </w:t>
              </w:r>
              <w:r w:rsidRPr="004452A1">
                <w:rPr>
                  <w:rStyle w:val="Hyperlink"/>
                  <w:b/>
                  <w:sz w:val="20"/>
                  <w:szCs w:val="20"/>
                </w:rPr>
                <w:t>Meeting – April 27, 2015)</w:t>
              </w:r>
            </w:hyperlink>
            <w:r>
              <w:rPr>
                <w:b/>
                <w:sz w:val="20"/>
                <w:szCs w:val="20"/>
              </w:rPr>
              <w:t>.</w:t>
            </w:r>
          </w:p>
          <w:p w:rsidR="00F30E62" w:rsidRDefault="00F30E62" w:rsidP="004452A1">
            <w:pPr>
              <w:rPr>
                <w:b/>
                <w:sz w:val="20"/>
                <w:szCs w:val="20"/>
              </w:rPr>
            </w:pPr>
          </w:p>
        </w:tc>
      </w:tr>
      <w:tr w:rsidR="000800FB" w:rsidTr="00652A1A">
        <w:tc>
          <w:tcPr>
            <w:tcW w:w="1098" w:type="dxa"/>
          </w:tcPr>
          <w:p w:rsidR="000800FB" w:rsidRDefault="000800FB">
            <w:pPr>
              <w:rPr>
                <w:rFonts w:ascii="Calibri" w:hAnsi="Calibri"/>
                <w:sz w:val="20"/>
                <w:szCs w:val="20"/>
              </w:rPr>
            </w:pPr>
            <w:r>
              <w:rPr>
                <w:rFonts w:ascii="Calibri" w:hAnsi="Calibri"/>
                <w:sz w:val="20"/>
                <w:szCs w:val="20"/>
              </w:rPr>
              <w:t>A.3.12</w:t>
            </w:r>
          </w:p>
        </w:tc>
        <w:tc>
          <w:tcPr>
            <w:tcW w:w="4748" w:type="dxa"/>
          </w:tcPr>
          <w:p w:rsidR="000800FB" w:rsidRDefault="000800FB">
            <w:pPr>
              <w:rPr>
                <w:rFonts w:ascii="Calibri" w:hAnsi="Calibri"/>
                <w:sz w:val="20"/>
                <w:szCs w:val="20"/>
              </w:rPr>
            </w:pPr>
            <w:r>
              <w:rPr>
                <w:rFonts w:ascii="Calibri" w:hAnsi="Calibri"/>
                <w:sz w:val="20"/>
                <w:szCs w:val="20"/>
              </w:rPr>
              <w:t>Did the chairman of the Audit Committee attend the most recent AGM?</w:t>
            </w:r>
          </w:p>
        </w:tc>
        <w:tc>
          <w:tcPr>
            <w:tcW w:w="4079" w:type="dxa"/>
            <w:vMerge/>
            <w:vAlign w:val="center"/>
          </w:tcPr>
          <w:p w:rsidR="000800FB" w:rsidRDefault="000800FB">
            <w:pPr>
              <w:rPr>
                <w:rFonts w:ascii="Calibri" w:hAnsi="Calibri"/>
                <w:sz w:val="20"/>
                <w:szCs w:val="20"/>
              </w:rPr>
            </w:pPr>
          </w:p>
        </w:tc>
        <w:tc>
          <w:tcPr>
            <w:tcW w:w="1170" w:type="dxa"/>
            <w:vAlign w:val="center"/>
          </w:tcPr>
          <w:p w:rsidR="000800FB" w:rsidRDefault="00340B5F">
            <w:pPr>
              <w:jc w:val="center"/>
              <w:rPr>
                <w:rFonts w:ascii="Calibri" w:hAnsi="Calibri"/>
                <w:sz w:val="20"/>
                <w:szCs w:val="20"/>
              </w:rPr>
            </w:pPr>
            <w:r>
              <w:rPr>
                <w:rFonts w:ascii="Calibri" w:hAnsi="Calibri"/>
                <w:sz w:val="20"/>
                <w:szCs w:val="20"/>
              </w:rPr>
              <w:t>Y</w:t>
            </w:r>
          </w:p>
        </w:tc>
        <w:tc>
          <w:tcPr>
            <w:tcW w:w="4305" w:type="dxa"/>
          </w:tcPr>
          <w:p w:rsidR="00340B5F" w:rsidRDefault="00ED0DFB" w:rsidP="00340B5F">
            <w:pPr>
              <w:rPr>
                <w:b/>
                <w:sz w:val="20"/>
                <w:szCs w:val="20"/>
              </w:rPr>
            </w:pPr>
            <w:r>
              <w:rPr>
                <w:b/>
                <w:sz w:val="20"/>
                <w:szCs w:val="20"/>
              </w:rPr>
              <w:t>Lope Torres</w:t>
            </w:r>
            <w:r w:rsidR="00340B5F">
              <w:rPr>
                <w:b/>
                <w:sz w:val="20"/>
                <w:szCs w:val="20"/>
              </w:rPr>
              <w:t xml:space="preserve"> – </w:t>
            </w:r>
            <w:r>
              <w:rPr>
                <w:b/>
                <w:sz w:val="20"/>
                <w:szCs w:val="20"/>
              </w:rPr>
              <w:t>Chairman of the Audit Committee/Independent Director</w:t>
            </w:r>
            <w:r w:rsidR="00340B5F">
              <w:rPr>
                <w:b/>
                <w:sz w:val="20"/>
                <w:szCs w:val="20"/>
              </w:rPr>
              <w:t xml:space="preserve">, was present or attended the </w:t>
            </w:r>
            <w:hyperlink r:id="rId23" w:history="1">
              <w:r w:rsidR="00340B5F" w:rsidRPr="004452A1">
                <w:rPr>
                  <w:rStyle w:val="Hyperlink"/>
                  <w:b/>
                  <w:sz w:val="20"/>
                  <w:szCs w:val="20"/>
                </w:rPr>
                <w:t>most recent AGM (</w:t>
              </w:r>
              <w:r w:rsidR="00701761" w:rsidRPr="004452A1">
                <w:rPr>
                  <w:rStyle w:val="Hyperlink"/>
                  <w:b/>
                  <w:sz w:val="20"/>
                  <w:szCs w:val="20"/>
                </w:rPr>
                <w:t xml:space="preserve">Annual Shareholders </w:t>
              </w:r>
              <w:r w:rsidR="00340B5F" w:rsidRPr="004452A1">
                <w:rPr>
                  <w:rStyle w:val="Hyperlink"/>
                  <w:b/>
                  <w:sz w:val="20"/>
                  <w:szCs w:val="20"/>
                </w:rPr>
                <w:t>Meeting – April 27, 2015).</w:t>
              </w:r>
            </w:hyperlink>
          </w:p>
          <w:p w:rsidR="00F30E62" w:rsidRDefault="00F30E62" w:rsidP="004452A1">
            <w:pPr>
              <w:rPr>
                <w:b/>
                <w:sz w:val="20"/>
                <w:szCs w:val="20"/>
              </w:rPr>
            </w:pPr>
          </w:p>
        </w:tc>
      </w:tr>
      <w:tr w:rsidR="00081A35" w:rsidTr="00652A1A">
        <w:tc>
          <w:tcPr>
            <w:tcW w:w="1098" w:type="dxa"/>
          </w:tcPr>
          <w:p w:rsidR="00081A35" w:rsidRDefault="00081A35">
            <w:pPr>
              <w:rPr>
                <w:rFonts w:ascii="Calibri" w:hAnsi="Calibri"/>
                <w:sz w:val="20"/>
                <w:szCs w:val="20"/>
              </w:rPr>
            </w:pPr>
            <w:r>
              <w:rPr>
                <w:rFonts w:ascii="Calibri" w:hAnsi="Calibri"/>
                <w:sz w:val="20"/>
                <w:szCs w:val="20"/>
              </w:rPr>
              <w:t>A.3.13</w:t>
            </w:r>
          </w:p>
        </w:tc>
        <w:tc>
          <w:tcPr>
            <w:tcW w:w="4748" w:type="dxa"/>
          </w:tcPr>
          <w:p w:rsidR="00081A35" w:rsidRDefault="00081A35">
            <w:pPr>
              <w:rPr>
                <w:rFonts w:ascii="Calibri" w:hAnsi="Calibri"/>
                <w:sz w:val="20"/>
                <w:szCs w:val="20"/>
              </w:rPr>
            </w:pPr>
            <w:r>
              <w:rPr>
                <w:rFonts w:ascii="Calibri" w:hAnsi="Calibri"/>
                <w:sz w:val="20"/>
                <w:szCs w:val="20"/>
              </w:rPr>
              <w:t xml:space="preserve">Did the company </w:t>
            </w:r>
            <w:r w:rsidR="00261F14">
              <w:rPr>
                <w:rFonts w:ascii="Calibri" w:hAnsi="Calibri"/>
                <w:sz w:val="20"/>
                <w:szCs w:val="20"/>
              </w:rPr>
              <w:t>organize</w:t>
            </w:r>
            <w:r>
              <w:rPr>
                <w:rFonts w:ascii="Calibri" w:hAnsi="Calibri"/>
                <w:sz w:val="20"/>
                <w:szCs w:val="20"/>
              </w:rPr>
              <w:t xml:space="preserve"> their most recent AGM in an easy to reach location?</w:t>
            </w:r>
          </w:p>
        </w:tc>
        <w:tc>
          <w:tcPr>
            <w:tcW w:w="4079" w:type="dxa"/>
          </w:tcPr>
          <w:p w:rsidR="00081A35" w:rsidRDefault="00081A35">
            <w:pPr>
              <w:rPr>
                <w:rFonts w:ascii="Calibri" w:hAnsi="Calibri"/>
                <w:b/>
                <w:bCs/>
                <w:sz w:val="20"/>
                <w:szCs w:val="20"/>
              </w:rPr>
            </w:pPr>
            <w:r>
              <w:rPr>
                <w:rFonts w:ascii="Calibri" w:hAnsi="Calibri"/>
                <w:b/>
                <w:bCs/>
                <w:sz w:val="20"/>
                <w:szCs w:val="20"/>
              </w:rPr>
              <w:t xml:space="preserve">OECD Principle II (C) </w:t>
            </w:r>
          </w:p>
        </w:tc>
        <w:tc>
          <w:tcPr>
            <w:tcW w:w="1170" w:type="dxa"/>
            <w:vAlign w:val="center"/>
          </w:tcPr>
          <w:p w:rsidR="00081A35" w:rsidRDefault="00261F14">
            <w:pPr>
              <w:jc w:val="center"/>
              <w:rPr>
                <w:rFonts w:ascii="Calibri" w:hAnsi="Calibri"/>
                <w:sz w:val="20"/>
                <w:szCs w:val="20"/>
              </w:rPr>
            </w:pPr>
            <w:r>
              <w:rPr>
                <w:rFonts w:ascii="Calibri" w:hAnsi="Calibri"/>
                <w:sz w:val="20"/>
                <w:szCs w:val="20"/>
              </w:rPr>
              <w:t>Y</w:t>
            </w:r>
          </w:p>
        </w:tc>
        <w:tc>
          <w:tcPr>
            <w:tcW w:w="4305" w:type="dxa"/>
          </w:tcPr>
          <w:p w:rsidR="00F30E62" w:rsidRDefault="00261F14" w:rsidP="009B33FC">
            <w:pPr>
              <w:rPr>
                <w:b/>
                <w:sz w:val="20"/>
                <w:szCs w:val="20"/>
              </w:rPr>
            </w:pPr>
            <w:r>
              <w:rPr>
                <w:b/>
                <w:sz w:val="20"/>
                <w:szCs w:val="20"/>
              </w:rPr>
              <w:t xml:space="preserve">The </w:t>
            </w:r>
            <w:hyperlink r:id="rId24" w:history="1">
              <w:r w:rsidRPr="009B33FC">
                <w:rPr>
                  <w:rStyle w:val="Hyperlink"/>
                  <w:b/>
                  <w:sz w:val="20"/>
                  <w:szCs w:val="20"/>
                </w:rPr>
                <w:t>most recent AGM (</w:t>
              </w:r>
              <w:r w:rsidR="00701761" w:rsidRPr="009B33FC">
                <w:rPr>
                  <w:rStyle w:val="Hyperlink"/>
                  <w:b/>
                  <w:sz w:val="20"/>
                  <w:szCs w:val="20"/>
                </w:rPr>
                <w:t xml:space="preserve">Annual Shareholders </w:t>
              </w:r>
              <w:r w:rsidRPr="009B33FC">
                <w:rPr>
                  <w:rStyle w:val="Hyperlink"/>
                  <w:b/>
                  <w:sz w:val="20"/>
                  <w:szCs w:val="20"/>
                </w:rPr>
                <w:t>Meeting – April 27, 2015)</w:t>
              </w:r>
            </w:hyperlink>
            <w:r>
              <w:rPr>
                <w:b/>
                <w:sz w:val="20"/>
                <w:szCs w:val="20"/>
              </w:rPr>
              <w:t xml:space="preserve"> was held at the principal office address of the company which is located at the Central Business District of Makati.</w:t>
            </w:r>
          </w:p>
        </w:tc>
      </w:tr>
      <w:tr w:rsidR="00081A35" w:rsidTr="00652A1A">
        <w:tc>
          <w:tcPr>
            <w:tcW w:w="1098" w:type="dxa"/>
          </w:tcPr>
          <w:p w:rsidR="00081A35" w:rsidRDefault="00081A35">
            <w:pPr>
              <w:rPr>
                <w:rFonts w:ascii="Calibri" w:hAnsi="Calibri"/>
                <w:sz w:val="20"/>
                <w:szCs w:val="20"/>
              </w:rPr>
            </w:pPr>
            <w:r>
              <w:rPr>
                <w:rFonts w:ascii="Calibri" w:hAnsi="Calibri"/>
                <w:sz w:val="20"/>
                <w:szCs w:val="20"/>
              </w:rPr>
              <w:lastRenderedPageBreak/>
              <w:t>A.3.14</w:t>
            </w:r>
          </w:p>
        </w:tc>
        <w:tc>
          <w:tcPr>
            <w:tcW w:w="4748" w:type="dxa"/>
          </w:tcPr>
          <w:p w:rsidR="00081A35" w:rsidRDefault="00081A35">
            <w:pPr>
              <w:rPr>
                <w:rFonts w:ascii="Calibri" w:hAnsi="Calibri"/>
                <w:sz w:val="20"/>
                <w:szCs w:val="20"/>
              </w:rPr>
            </w:pPr>
            <w:r>
              <w:rPr>
                <w:rFonts w:ascii="Calibri" w:hAnsi="Calibri"/>
                <w:sz w:val="20"/>
                <w:szCs w:val="20"/>
              </w:rPr>
              <w:t>Does the company allow for voting in absentia?</w:t>
            </w:r>
          </w:p>
        </w:tc>
        <w:tc>
          <w:tcPr>
            <w:tcW w:w="4079" w:type="dxa"/>
          </w:tcPr>
          <w:p w:rsidR="00081A35" w:rsidRDefault="00081A35">
            <w:pPr>
              <w:rPr>
                <w:rFonts w:ascii="Calibri" w:hAnsi="Calibri"/>
                <w:sz w:val="20"/>
                <w:szCs w:val="20"/>
              </w:rPr>
            </w:pPr>
            <w:r>
              <w:rPr>
                <w:rFonts w:ascii="Calibri" w:hAnsi="Calibri"/>
                <w:b/>
                <w:bCs/>
                <w:sz w:val="20"/>
                <w:szCs w:val="20"/>
              </w:rPr>
              <w:t>OECD Principle II (C):</w:t>
            </w:r>
            <w:r>
              <w:rPr>
                <w:rFonts w:ascii="Calibri" w:hAnsi="Calibri"/>
                <w:b/>
                <w:bCs/>
                <w:sz w:val="20"/>
                <w:szCs w:val="20"/>
              </w:rPr>
              <w:br/>
            </w:r>
            <w:r>
              <w:rPr>
                <w:rFonts w:ascii="Calibri" w:hAnsi="Calibri"/>
                <w:sz w:val="20"/>
                <w:szCs w:val="20"/>
              </w:rPr>
              <w:t>(4) Shareholders should be able to vote in person or in absentia, and equal effect should be given to votes whether cast in person or in absentia.</w:t>
            </w:r>
          </w:p>
        </w:tc>
        <w:tc>
          <w:tcPr>
            <w:tcW w:w="1170" w:type="dxa"/>
            <w:vAlign w:val="center"/>
          </w:tcPr>
          <w:p w:rsidR="00081A35" w:rsidRDefault="00081A35">
            <w:pPr>
              <w:jc w:val="center"/>
              <w:rPr>
                <w:rFonts w:ascii="Calibri" w:hAnsi="Calibri"/>
                <w:sz w:val="20"/>
                <w:szCs w:val="20"/>
              </w:rPr>
            </w:pPr>
            <w:r>
              <w:rPr>
                <w:rFonts w:ascii="Calibri" w:hAnsi="Calibri"/>
                <w:sz w:val="20"/>
                <w:szCs w:val="20"/>
              </w:rPr>
              <w:t>Y</w:t>
            </w:r>
          </w:p>
        </w:tc>
        <w:tc>
          <w:tcPr>
            <w:tcW w:w="4305" w:type="dxa"/>
          </w:tcPr>
          <w:p w:rsidR="00081A35" w:rsidRDefault="004452A1" w:rsidP="00CF66D0">
            <w:pPr>
              <w:rPr>
                <w:b/>
                <w:sz w:val="20"/>
                <w:szCs w:val="20"/>
              </w:rPr>
            </w:pPr>
            <w:r>
              <w:rPr>
                <w:b/>
                <w:sz w:val="20"/>
                <w:szCs w:val="20"/>
              </w:rPr>
              <w:t xml:space="preserve">As stated on its </w:t>
            </w:r>
            <w:hyperlink r:id="rId25" w:history="1">
              <w:r w:rsidRPr="004452A1">
                <w:rPr>
                  <w:rStyle w:val="Hyperlink"/>
                  <w:b/>
                  <w:sz w:val="20"/>
                  <w:szCs w:val="20"/>
                </w:rPr>
                <w:t>By-laws</w:t>
              </w:r>
            </w:hyperlink>
            <w:r>
              <w:rPr>
                <w:b/>
                <w:sz w:val="20"/>
                <w:szCs w:val="20"/>
              </w:rPr>
              <w:t>, the c</w:t>
            </w:r>
            <w:r w:rsidR="00DD64A0">
              <w:rPr>
                <w:b/>
                <w:sz w:val="20"/>
                <w:szCs w:val="20"/>
              </w:rPr>
              <w:t xml:space="preserve">ompany allows </w:t>
            </w:r>
            <w:r>
              <w:rPr>
                <w:b/>
                <w:sz w:val="20"/>
                <w:szCs w:val="20"/>
              </w:rPr>
              <w:t>its</w:t>
            </w:r>
            <w:r w:rsidR="00DD64A0">
              <w:rPr>
                <w:b/>
                <w:sz w:val="20"/>
                <w:szCs w:val="20"/>
              </w:rPr>
              <w:t xml:space="preserve"> </w:t>
            </w:r>
            <w:r w:rsidR="00CF66D0">
              <w:rPr>
                <w:b/>
                <w:sz w:val="20"/>
                <w:szCs w:val="20"/>
              </w:rPr>
              <w:t>shareholders t</w:t>
            </w:r>
            <w:r w:rsidR="00C509E2">
              <w:rPr>
                <w:b/>
                <w:sz w:val="20"/>
                <w:szCs w:val="20"/>
              </w:rPr>
              <w:t>o vote in absentia or by proxy</w:t>
            </w:r>
            <w:r w:rsidR="00CF66D0">
              <w:rPr>
                <w:b/>
                <w:sz w:val="20"/>
                <w:szCs w:val="20"/>
              </w:rPr>
              <w:t xml:space="preserve">, provided that the proxy shall </w:t>
            </w:r>
            <w:r w:rsidR="005622FB">
              <w:rPr>
                <w:b/>
                <w:sz w:val="20"/>
                <w:szCs w:val="20"/>
              </w:rPr>
              <w:t xml:space="preserve">have </w:t>
            </w:r>
            <w:r w:rsidR="0038468D">
              <w:rPr>
                <w:b/>
                <w:sz w:val="20"/>
                <w:szCs w:val="20"/>
              </w:rPr>
              <w:t>be</w:t>
            </w:r>
            <w:r w:rsidR="005622FB">
              <w:rPr>
                <w:b/>
                <w:sz w:val="20"/>
                <w:szCs w:val="20"/>
              </w:rPr>
              <w:t>en</w:t>
            </w:r>
            <w:r w:rsidR="0038468D">
              <w:rPr>
                <w:b/>
                <w:sz w:val="20"/>
                <w:szCs w:val="20"/>
              </w:rPr>
              <w:t xml:space="preserve"> </w:t>
            </w:r>
            <w:r w:rsidR="00CF66D0">
              <w:rPr>
                <w:b/>
                <w:sz w:val="20"/>
                <w:szCs w:val="20"/>
              </w:rPr>
              <w:t xml:space="preserve">appointed by the stockholder himself or by his/her duly authorized attorney provided further that it is filed with the Secretary of the Corporation </w:t>
            </w:r>
            <w:r w:rsidR="005C5E22">
              <w:rPr>
                <w:b/>
                <w:sz w:val="20"/>
                <w:szCs w:val="20"/>
              </w:rPr>
              <w:t xml:space="preserve">for </w:t>
            </w:r>
            <w:r w:rsidR="00CF66D0">
              <w:rPr>
                <w:b/>
                <w:sz w:val="20"/>
                <w:szCs w:val="20"/>
              </w:rPr>
              <w:t>at least 24 hour before the meeting.</w:t>
            </w:r>
          </w:p>
          <w:p w:rsidR="00AC45EA" w:rsidRDefault="00AC45EA" w:rsidP="004452A1">
            <w:pPr>
              <w:rPr>
                <w:b/>
                <w:sz w:val="20"/>
                <w:szCs w:val="20"/>
              </w:rPr>
            </w:pPr>
          </w:p>
        </w:tc>
      </w:tr>
      <w:tr w:rsidR="00081A35" w:rsidTr="00652A1A">
        <w:tc>
          <w:tcPr>
            <w:tcW w:w="1098" w:type="dxa"/>
          </w:tcPr>
          <w:p w:rsidR="00081A35" w:rsidRDefault="00081A35">
            <w:pPr>
              <w:rPr>
                <w:rFonts w:ascii="Calibri" w:hAnsi="Calibri"/>
                <w:sz w:val="20"/>
                <w:szCs w:val="20"/>
              </w:rPr>
            </w:pPr>
            <w:r>
              <w:rPr>
                <w:rFonts w:ascii="Calibri" w:hAnsi="Calibri"/>
                <w:sz w:val="20"/>
                <w:szCs w:val="20"/>
              </w:rPr>
              <w:t>A.3.15</w:t>
            </w:r>
          </w:p>
        </w:tc>
        <w:tc>
          <w:tcPr>
            <w:tcW w:w="4748" w:type="dxa"/>
          </w:tcPr>
          <w:p w:rsidR="00081A35" w:rsidRDefault="00081A35">
            <w:pPr>
              <w:rPr>
                <w:rFonts w:ascii="Calibri" w:hAnsi="Calibri"/>
                <w:sz w:val="20"/>
                <w:szCs w:val="20"/>
              </w:rPr>
            </w:pPr>
            <w:r>
              <w:rPr>
                <w:rFonts w:ascii="Calibri" w:hAnsi="Calibri"/>
                <w:sz w:val="20"/>
                <w:szCs w:val="20"/>
              </w:rPr>
              <w:t>Did the company vote by poll (as opposed to by show of hands) for all resolutions at the most recent AGM?</w:t>
            </w:r>
          </w:p>
        </w:tc>
        <w:tc>
          <w:tcPr>
            <w:tcW w:w="4079" w:type="dxa"/>
            <w:vMerge w:val="restart"/>
          </w:tcPr>
          <w:p w:rsidR="00081A35" w:rsidRDefault="00081A35">
            <w:pPr>
              <w:rPr>
                <w:rFonts w:ascii="Calibri" w:hAnsi="Calibri"/>
                <w:sz w:val="20"/>
                <w:szCs w:val="20"/>
              </w:rPr>
            </w:pPr>
            <w:r>
              <w:rPr>
                <w:rFonts w:ascii="Calibri" w:hAnsi="Calibri"/>
                <w:b/>
                <w:bCs/>
                <w:sz w:val="20"/>
                <w:szCs w:val="20"/>
              </w:rPr>
              <w:t>OECD Principle II (C)</w:t>
            </w:r>
            <w:r>
              <w:rPr>
                <w:rFonts w:ascii="Calibri" w:hAnsi="Calibri"/>
                <w:sz w:val="20"/>
                <w:szCs w:val="20"/>
              </w:rPr>
              <w:t xml:space="preserve"> </w:t>
            </w:r>
          </w:p>
        </w:tc>
        <w:tc>
          <w:tcPr>
            <w:tcW w:w="1170" w:type="dxa"/>
            <w:vAlign w:val="center"/>
          </w:tcPr>
          <w:p w:rsidR="00815A93" w:rsidRDefault="005E02D2" w:rsidP="00815A93">
            <w:pPr>
              <w:jc w:val="center"/>
              <w:rPr>
                <w:rFonts w:ascii="Calibri" w:hAnsi="Calibri"/>
                <w:sz w:val="20"/>
                <w:szCs w:val="20"/>
              </w:rPr>
            </w:pPr>
            <w:r>
              <w:rPr>
                <w:rFonts w:ascii="Calibri" w:hAnsi="Calibri"/>
                <w:sz w:val="20"/>
                <w:szCs w:val="20"/>
              </w:rPr>
              <w:t>N</w:t>
            </w:r>
          </w:p>
        </w:tc>
        <w:tc>
          <w:tcPr>
            <w:tcW w:w="4305" w:type="dxa"/>
          </w:tcPr>
          <w:p w:rsidR="00081A35" w:rsidRPr="00A167B4" w:rsidRDefault="00D8731B" w:rsidP="00716BE8">
            <w:pPr>
              <w:rPr>
                <w:b/>
                <w:sz w:val="20"/>
                <w:szCs w:val="20"/>
              </w:rPr>
            </w:pPr>
            <w:r>
              <w:rPr>
                <w:b/>
                <w:sz w:val="20"/>
                <w:szCs w:val="20"/>
              </w:rPr>
              <w:t>The voting method used a</w:t>
            </w:r>
            <w:r w:rsidR="00716BE8">
              <w:rPr>
                <w:b/>
                <w:sz w:val="20"/>
                <w:szCs w:val="20"/>
              </w:rPr>
              <w:t>t the</w:t>
            </w:r>
            <w:r w:rsidR="005E02D2">
              <w:rPr>
                <w:b/>
                <w:sz w:val="20"/>
                <w:szCs w:val="20"/>
              </w:rPr>
              <w:t xml:space="preserve"> recently held Annual Shareholders Meeting (April 27, 2015)</w:t>
            </w:r>
            <w:r>
              <w:rPr>
                <w:b/>
                <w:sz w:val="20"/>
                <w:szCs w:val="20"/>
              </w:rPr>
              <w:t xml:space="preserve"> was by </w:t>
            </w:r>
            <w:r w:rsidR="00716BE8" w:rsidRPr="00A167B4">
              <w:rPr>
                <w:b/>
                <w:sz w:val="20"/>
                <w:szCs w:val="20"/>
              </w:rPr>
              <w:t>show</w:t>
            </w:r>
            <w:r w:rsidR="00CB6727">
              <w:rPr>
                <w:b/>
                <w:sz w:val="20"/>
                <w:szCs w:val="20"/>
              </w:rPr>
              <w:t xml:space="preserve"> of</w:t>
            </w:r>
            <w:r w:rsidR="00492B4B">
              <w:rPr>
                <w:b/>
                <w:sz w:val="20"/>
                <w:szCs w:val="20"/>
              </w:rPr>
              <w:t xml:space="preserve"> </w:t>
            </w:r>
            <w:r w:rsidR="00716BE8" w:rsidRPr="00A167B4">
              <w:rPr>
                <w:b/>
                <w:sz w:val="20"/>
                <w:szCs w:val="20"/>
              </w:rPr>
              <w:t>hands.</w:t>
            </w:r>
            <w:r>
              <w:rPr>
                <w:b/>
                <w:sz w:val="20"/>
                <w:szCs w:val="20"/>
              </w:rPr>
              <w:t xml:space="preserve"> A</w:t>
            </w:r>
            <w:r w:rsidR="00CB6727">
              <w:rPr>
                <w:b/>
                <w:sz w:val="20"/>
                <w:szCs w:val="20"/>
              </w:rPr>
              <w:t xml:space="preserve">s </w:t>
            </w:r>
            <w:r>
              <w:rPr>
                <w:b/>
                <w:sz w:val="20"/>
                <w:szCs w:val="20"/>
              </w:rPr>
              <w:t xml:space="preserve">provided on the </w:t>
            </w:r>
            <w:hyperlink r:id="rId26" w:history="1">
              <w:r w:rsidRPr="004452A1">
                <w:rPr>
                  <w:rStyle w:val="Hyperlink"/>
                  <w:b/>
                  <w:sz w:val="20"/>
                  <w:szCs w:val="20"/>
                </w:rPr>
                <w:t>company’s</w:t>
              </w:r>
              <w:r w:rsidR="00CB6727" w:rsidRPr="004452A1">
                <w:rPr>
                  <w:rStyle w:val="Hyperlink"/>
                  <w:b/>
                  <w:sz w:val="20"/>
                  <w:szCs w:val="20"/>
                </w:rPr>
                <w:t xml:space="preserve"> </w:t>
              </w:r>
              <w:r w:rsidR="004452A1" w:rsidRPr="004452A1">
                <w:rPr>
                  <w:rStyle w:val="Hyperlink"/>
                  <w:b/>
                  <w:sz w:val="20"/>
                  <w:szCs w:val="20"/>
                </w:rPr>
                <w:t>website (</w:t>
              </w:r>
              <w:r w:rsidRPr="004452A1">
                <w:rPr>
                  <w:rStyle w:val="Hyperlink"/>
                  <w:b/>
                  <w:sz w:val="20"/>
                  <w:szCs w:val="20"/>
                </w:rPr>
                <w:t>voting procedures</w:t>
              </w:r>
              <w:r w:rsidR="004452A1" w:rsidRPr="004452A1">
                <w:rPr>
                  <w:rStyle w:val="Hyperlink"/>
                  <w:b/>
                  <w:sz w:val="20"/>
                  <w:szCs w:val="20"/>
                </w:rPr>
                <w:t>)</w:t>
              </w:r>
            </w:hyperlink>
            <w:r>
              <w:rPr>
                <w:b/>
                <w:sz w:val="20"/>
                <w:szCs w:val="20"/>
              </w:rPr>
              <w:t xml:space="preserve">, shareholders or proxies that are entitled to vote </w:t>
            </w:r>
            <w:r w:rsidR="004F539B">
              <w:rPr>
                <w:b/>
                <w:sz w:val="20"/>
                <w:szCs w:val="20"/>
              </w:rPr>
              <w:t xml:space="preserve">shall </w:t>
            </w:r>
            <w:r w:rsidR="004F3A9D">
              <w:rPr>
                <w:b/>
                <w:sz w:val="20"/>
                <w:szCs w:val="20"/>
              </w:rPr>
              <w:t xml:space="preserve"> vote through</w:t>
            </w:r>
            <w:r>
              <w:rPr>
                <w:b/>
                <w:sz w:val="20"/>
                <w:szCs w:val="20"/>
              </w:rPr>
              <w:t xml:space="preserve"> show</w:t>
            </w:r>
            <w:r w:rsidR="004F3A9D">
              <w:rPr>
                <w:b/>
                <w:sz w:val="20"/>
                <w:szCs w:val="20"/>
              </w:rPr>
              <w:t xml:space="preserve"> of</w:t>
            </w:r>
            <w:r>
              <w:rPr>
                <w:b/>
                <w:sz w:val="20"/>
                <w:szCs w:val="20"/>
              </w:rPr>
              <w:t xml:space="preserve"> hands</w:t>
            </w:r>
            <w:r w:rsidR="00CB6727">
              <w:rPr>
                <w:b/>
                <w:sz w:val="20"/>
                <w:szCs w:val="20"/>
              </w:rPr>
              <w:t>,</w:t>
            </w:r>
            <w:r w:rsidR="00CB6727" w:rsidRPr="00A167B4">
              <w:rPr>
                <w:b/>
                <w:sz w:val="20"/>
                <w:szCs w:val="20"/>
              </w:rPr>
              <w:t xml:space="preserve"> unless</w:t>
            </w:r>
            <w:r w:rsidR="00A167B4" w:rsidRPr="00A167B4">
              <w:rPr>
                <w:b/>
                <w:sz w:val="20"/>
                <w:szCs w:val="20"/>
              </w:rPr>
              <w:t xml:space="preserve"> </w:t>
            </w:r>
            <w:r>
              <w:rPr>
                <w:b/>
                <w:sz w:val="20"/>
                <w:szCs w:val="20"/>
              </w:rPr>
              <w:t xml:space="preserve">otherwise </w:t>
            </w:r>
            <w:r w:rsidR="00A167B4" w:rsidRPr="00A167B4">
              <w:rPr>
                <w:b/>
                <w:sz w:val="20"/>
                <w:szCs w:val="20"/>
              </w:rPr>
              <w:t xml:space="preserve">required by law or demanded </w:t>
            </w:r>
            <w:r>
              <w:rPr>
                <w:b/>
                <w:sz w:val="20"/>
                <w:szCs w:val="20"/>
              </w:rPr>
              <w:t xml:space="preserve">the board itself </w:t>
            </w:r>
            <w:r w:rsidR="004F3A9D">
              <w:rPr>
                <w:b/>
                <w:sz w:val="20"/>
                <w:szCs w:val="20"/>
              </w:rPr>
              <w:t>f</w:t>
            </w:r>
            <w:r w:rsidR="004F539B">
              <w:rPr>
                <w:b/>
                <w:sz w:val="20"/>
                <w:szCs w:val="20"/>
              </w:rPr>
              <w:t>o</w:t>
            </w:r>
            <w:r w:rsidR="004F3A9D">
              <w:rPr>
                <w:b/>
                <w:sz w:val="20"/>
                <w:szCs w:val="20"/>
              </w:rPr>
              <w:t>r</w:t>
            </w:r>
            <w:r w:rsidR="004F539B">
              <w:rPr>
                <w:b/>
                <w:sz w:val="20"/>
                <w:szCs w:val="20"/>
              </w:rPr>
              <w:t xml:space="preserve"> the other voting procedure.</w:t>
            </w:r>
          </w:p>
          <w:p w:rsidR="0043331C" w:rsidRPr="005E02D2" w:rsidRDefault="0043331C" w:rsidP="0043331C">
            <w:pPr>
              <w:rPr>
                <w:b/>
                <w:sz w:val="20"/>
                <w:szCs w:val="20"/>
              </w:rPr>
            </w:pPr>
          </w:p>
        </w:tc>
      </w:tr>
      <w:tr w:rsidR="00081A35" w:rsidTr="00652A1A">
        <w:tc>
          <w:tcPr>
            <w:tcW w:w="1098" w:type="dxa"/>
          </w:tcPr>
          <w:p w:rsidR="00081A35" w:rsidRDefault="00081A35">
            <w:pPr>
              <w:rPr>
                <w:rFonts w:ascii="Calibri" w:hAnsi="Calibri"/>
                <w:sz w:val="20"/>
                <w:szCs w:val="20"/>
              </w:rPr>
            </w:pPr>
            <w:r>
              <w:rPr>
                <w:rFonts w:ascii="Calibri" w:hAnsi="Calibri"/>
                <w:sz w:val="20"/>
                <w:szCs w:val="20"/>
              </w:rPr>
              <w:t>A.3.16</w:t>
            </w:r>
          </w:p>
        </w:tc>
        <w:tc>
          <w:tcPr>
            <w:tcW w:w="4748" w:type="dxa"/>
          </w:tcPr>
          <w:p w:rsidR="00081A35" w:rsidRDefault="00081A35">
            <w:pPr>
              <w:rPr>
                <w:rFonts w:ascii="Calibri" w:hAnsi="Calibri"/>
                <w:sz w:val="20"/>
                <w:szCs w:val="20"/>
              </w:rPr>
            </w:pPr>
            <w:r>
              <w:rPr>
                <w:rFonts w:ascii="Calibri" w:hAnsi="Calibri"/>
                <w:sz w:val="20"/>
                <w:szCs w:val="20"/>
              </w:rPr>
              <w:t>Does the company disclose that it has appointed an independent party (scrutineers/inspectors) to count and/or validate the votes at the AGM?</w:t>
            </w:r>
          </w:p>
        </w:tc>
        <w:tc>
          <w:tcPr>
            <w:tcW w:w="4079" w:type="dxa"/>
            <w:vMerge/>
            <w:vAlign w:val="center"/>
          </w:tcPr>
          <w:p w:rsidR="00081A35" w:rsidRDefault="00081A35">
            <w:pPr>
              <w:rPr>
                <w:rFonts w:ascii="Calibri" w:hAnsi="Calibri"/>
                <w:sz w:val="20"/>
                <w:szCs w:val="20"/>
              </w:rPr>
            </w:pPr>
          </w:p>
        </w:tc>
        <w:tc>
          <w:tcPr>
            <w:tcW w:w="1170" w:type="dxa"/>
            <w:vAlign w:val="center"/>
          </w:tcPr>
          <w:p w:rsidR="00081A35" w:rsidRDefault="001C26DF">
            <w:pPr>
              <w:jc w:val="center"/>
              <w:rPr>
                <w:rFonts w:ascii="Calibri" w:hAnsi="Calibri"/>
                <w:sz w:val="20"/>
                <w:szCs w:val="20"/>
              </w:rPr>
            </w:pPr>
            <w:r>
              <w:rPr>
                <w:rFonts w:ascii="Calibri" w:hAnsi="Calibri"/>
                <w:sz w:val="20"/>
                <w:szCs w:val="20"/>
              </w:rPr>
              <w:t>Y</w:t>
            </w:r>
          </w:p>
        </w:tc>
        <w:tc>
          <w:tcPr>
            <w:tcW w:w="4305" w:type="dxa"/>
          </w:tcPr>
          <w:p w:rsidR="00081A35" w:rsidRDefault="00941BB3" w:rsidP="004F7BD1">
            <w:pPr>
              <w:rPr>
                <w:b/>
                <w:sz w:val="20"/>
                <w:szCs w:val="20"/>
              </w:rPr>
            </w:pPr>
            <w:r>
              <w:rPr>
                <w:b/>
                <w:sz w:val="20"/>
                <w:szCs w:val="20"/>
              </w:rPr>
              <w:t xml:space="preserve">Under the </w:t>
            </w:r>
            <w:hyperlink r:id="rId27" w:history="1">
              <w:r w:rsidRPr="004452A1">
                <w:rPr>
                  <w:rStyle w:val="Hyperlink"/>
                  <w:b/>
                  <w:sz w:val="20"/>
                  <w:szCs w:val="20"/>
                </w:rPr>
                <w:t xml:space="preserve">company’s </w:t>
              </w:r>
              <w:r w:rsidR="004452A1" w:rsidRPr="004452A1">
                <w:rPr>
                  <w:rStyle w:val="Hyperlink"/>
                  <w:b/>
                  <w:sz w:val="20"/>
                  <w:szCs w:val="20"/>
                </w:rPr>
                <w:t>website (</w:t>
              </w:r>
              <w:r w:rsidRPr="004452A1">
                <w:rPr>
                  <w:rStyle w:val="Hyperlink"/>
                  <w:b/>
                  <w:sz w:val="20"/>
                  <w:szCs w:val="20"/>
                </w:rPr>
                <w:t>voting procedures</w:t>
              </w:r>
              <w:r w:rsidR="004452A1" w:rsidRPr="004452A1">
                <w:rPr>
                  <w:rStyle w:val="Hyperlink"/>
                  <w:b/>
                  <w:sz w:val="20"/>
                  <w:szCs w:val="20"/>
                </w:rPr>
                <w:t>)</w:t>
              </w:r>
            </w:hyperlink>
            <w:r>
              <w:rPr>
                <w:b/>
                <w:sz w:val="20"/>
                <w:szCs w:val="20"/>
              </w:rPr>
              <w:t xml:space="preserve">, the Corporate Secretary shall be responsible </w:t>
            </w:r>
            <w:r w:rsidR="0081064B">
              <w:rPr>
                <w:b/>
                <w:sz w:val="20"/>
                <w:szCs w:val="20"/>
              </w:rPr>
              <w:t xml:space="preserve">for counting the votes of </w:t>
            </w:r>
            <w:r w:rsidR="004F7BD1">
              <w:rPr>
                <w:b/>
                <w:sz w:val="20"/>
                <w:szCs w:val="20"/>
              </w:rPr>
              <w:t xml:space="preserve">each shareholder or its proxies </w:t>
            </w:r>
            <w:r w:rsidR="00935927">
              <w:rPr>
                <w:b/>
                <w:sz w:val="20"/>
                <w:szCs w:val="20"/>
              </w:rPr>
              <w:t xml:space="preserve">that are entitled to vote </w:t>
            </w:r>
            <w:r w:rsidR="004F7BD1">
              <w:rPr>
                <w:b/>
                <w:sz w:val="20"/>
                <w:szCs w:val="20"/>
              </w:rPr>
              <w:t xml:space="preserve">during </w:t>
            </w:r>
            <w:r w:rsidR="00935927">
              <w:rPr>
                <w:b/>
                <w:sz w:val="20"/>
                <w:szCs w:val="20"/>
              </w:rPr>
              <w:t xml:space="preserve">the </w:t>
            </w:r>
            <w:r w:rsidR="004F7BD1">
              <w:rPr>
                <w:b/>
                <w:sz w:val="20"/>
                <w:szCs w:val="20"/>
              </w:rPr>
              <w:t>meeting.</w:t>
            </w:r>
          </w:p>
          <w:p w:rsidR="004F7BD1" w:rsidRDefault="004F7BD1" w:rsidP="004452A1">
            <w:pPr>
              <w:rPr>
                <w:b/>
                <w:sz w:val="20"/>
                <w:szCs w:val="20"/>
              </w:rPr>
            </w:pPr>
          </w:p>
        </w:tc>
      </w:tr>
      <w:tr w:rsidR="00081A35" w:rsidTr="004452A1">
        <w:tc>
          <w:tcPr>
            <w:tcW w:w="1098" w:type="dxa"/>
          </w:tcPr>
          <w:p w:rsidR="00081A35" w:rsidRDefault="00081A35">
            <w:pPr>
              <w:rPr>
                <w:rFonts w:ascii="Calibri" w:hAnsi="Calibri"/>
                <w:sz w:val="20"/>
                <w:szCs w:val="20"/>
              </w:rPr>
            </w:pPr>
            <w:r>
              <w:rPr>
                <w:rFonts w:ascii="Calibri" w:hAnsi="Calibri"/>
                <w:sz w:val="20"/>
                <w:szCs w:val="20"/>
              </w:rPr>
              <w:t>A.3.17</w:t>
            </w:r>
          </w:p>
        </w:tc>
        <w:tc>
          <w:tcPr>
            <w:tcW w:w="4748" w:type="dxa"/>
          </w:tcPr>
          <w:p w:rsidR="00081A35" w:rsidRDefault="00081A35">
            <w:pPr>
              <w:rPr>
                <w:rFonts w:ascii="Calibri" w:hAnsi="Calibri"/>
                <w:sz w:val="20"/>
                <w:szCs w:val="20"/>
              </w:rPr>
            </w:pPr>
            <w:r w:rsidRPr="004452A1">
              <w:rPr>
                <w:rFonts w:ascii="Calibri" w:hAnsi="Calibri"/>
                <w:sz w:val="20"/>
                <w:szCs w:val="20"/>
              </w:rPr>
              <w:t>Does the company make publicly available by the next working day the result of the votes taken during the most recent AGM for all resolutions?</w:t>
            </w:r>
          </w:p>
        </w:tc>
        <w:tc>
          <w:tcPr>
            <w:tcW w:w="4079" w:type="dxa"/>
            <w:vMerge w:val="restart"/>
          </w:tcPr>
          <w:p w:rsidR="00081A35" w:rsidRDefault="00081A35">
            <w:pPr>
              <w:rPr>
                <w:rFonts w:ascii="Calibri" w:hAnsi="Calibri"/>
                <w:sz w:val="20"/>
                <w:szCs w:val="20"/>
              </w:rPr>
            </w:pPr>
            <w:r>
              <w:rPr>
                <w:rFonts w:ascii="Calibri" w:hAnsi="Calibri"/>
                <w:b/>
                <w:bCs/>
                <w:sz w:val="20"/>
                <w:szCs w:val="20"/>
              </w:rPr>
              <w:t>OECD Principle II (C):</w:t>
            </w:r>
            <w:r>
              <w:rPr>
                <w:rFonts w:ascii="Calibri" w:hAnsi="Calibri"/>
                <w:b/>
                <w:bCs/>
                <w:sz w:val="20"/>
                <w:szCs w:val="20"/>
              </w:rPr>
              <w:br/>
            </w:r>
            <w:r>
              <w:rPr>
                <w:rFonts w:ascii="Calibri" w:hAnsi="Calibri"/>
                <w:sz w:val="20"/>
                <w:szCs w:val="20"/>
              </w:rPr>
              <w:t>(1) Shareholders should be furnished with sufficient and timely information concerning the date, location and agenda of general meetings, as well as full and timely information regarding the issues to be decided at the meeting.</w:t>
            </w:r>
          </w:p>
        </w:tc>
        <w:tc>
          <w:tcPr>
            <w:tcW w:w="1170" w:type="dxa"/>
            <w:vAlign w:val="center"/>
          </w:tcPr>
          <w:p w:rsidR="00081A35" w:rsidRDefault="002F394B">
            <w:pPr>
              <w:jc w:val="center"/>
              <w:rPr>
                <w:rFonts w:ascii="Calibri" w:hAnsi="Calibri"/>
                <w:sz w:val="20"/>
                <w:szCs w:val="20"/>
              </w:rPr>
            </w:pPr>
            <w:r>
              <w:rPr>
                <w:rFonts w:ascii="Calibri" w:hAnsi="Calibri"/>
                <w:sz w:val="20"/>
                <w:szCs w:val="20"/>
              </w:rPr>
              <w:t>Y</w:t>
            </w:r>
          </w:p>
        </w:tc>
        <w:tc>
          <w:tcPr>
            <w:tcW w:w="4305" w:type="dxa"/>
            <w:vAlign w:val="center"/>
          </w:tcPr>
          <w:p w:rsidR="00081A35" w:rsidRDefault="009765A8" w:rsidP="004452A1">
            <w:pPr>
              <w:tabs>
                <w:tab w:val="left" w:pos="2599"/>
              </w:tabs>
              <w:rPr>
                <w:b/>
                <w:sz w:val="20"/>
                <w:szCs w:val="20"/>
              </w:rPr>
            </w:pPr>
            <w:hyperlink r:id="rId28" w:history="1">
              <w:r w:rsidR="00DB582D" w:rsidRPr="004452A1">
                <w:rPr>
                  <w:rStyle w:val="Hyperlink"/>
                  <w:b/>
                  <w:sz w:val="20"/>
                  <w:szCs w:val="20"/>
                </w:rPr>
                <w:t>Minutes of the AGM 2015</w:t>
              </w:r>
            </w:hyperlink>
          </w:p>
        </w:tc>
      </w:tr>
      <w:tr w:rsidR="00081A35" w:rsidTr="00652A1A">
        <w:tc>
          <w:tcPr>
            <w:tcW w:w="1098" w:type="dxa"/>
          </w:tcPr>
          <w:p w:rsidR="00081A35" w:rsidRDefault="00081A35">
            <w:pPr>
              <w:rPr>
                <w:rFonts w:ascii="Calibri" w:hAnsi="Calibri"/>
                <w:sz w:val="20"/>
                <w:szCs w:val="20"/>
              </w:rPr>
            </w:pPr>
            <w:r>
              <w:rPr>
                <w:rFonts w:ascii="Calibri" w:hAnsi="Calibri"/>
                <w:sz w:val="20"/>
                <w:szCs w:val="20"/>
              </w:rPr>
              <w:t>A.3.18</w:t>
            </w:r>
          </w:p>
        </w:tc>
        <w:tc>
          <w:tcPr>
            <w:tcW w:w="4748" w:type="dxa"/>
          </w:tcPr>
          <w:p w:rsidR="00081A35" w:rsidRDefault="00081A35">
            <w:pPr>
              <w:rPr>
                <w:rFonts w:ascii="Calibri" w:hAnsi="Calibri"/>
                <w:sz w:val="20"/>
                <w:szCs w:val="20"/>
              </w:rPr>
            </w:pPr>
            <w:r w:rsidRPr="00DB582D">
              <w:rPr>
                <w:rFonts w:ascii="Calibri" w:hAnsi="Calibri"/>
                <w:sz w:val="20"/>
                <w:szCs w:val="20"/>
              </w:rPr>
              <w:t>Do companies provide at least 21 days notice for all resolutions?</w:t>
            </w:r>
          </w:p>
        </w:tc>
        <w:tc>
          <w:tcPr>
            <w:tcW w:w="4079" w:type="dxa"/>
            <w:vMerge/>
            <w:vAlign w:val="center"/>
          </w:tcPr>
          <w:p w:rsidR="00081A35" w:rsidRDefault="00081A35">
            <w:pPr>
              <w:rPr>
                <w:rFonts w:ascii="Calibri" w:hAnsi="Calibri"/>
                <w:sz w:val="20"/>
                <w:szCs w:val="20"/>
              </w:rPr>
            </w:pPr>
          </w:p>
        </w:tc>
        <w:tc>
          <w:tcPr>
            <w:tcW w:w="1170" w:type="dxa"/>
            <w:vAlign w:val="center"/>
          </w:tcPr>
          <w:p w:rsidR="00081A35" w:rsidRDefault="00DB582D">
            <w:pPr>
              <w:jc w:val="center"/>
              <w:rPr>
                <w:rFonts w:ascii="Calibri" w:hAnsi="Calibri"/>
                <w:sz w:val="20"/>
                <w:szCs w:val="20"/>
              </w:rPr>
            </w:pPr>
            <w:r>
              <w:rPr>
                <w:rFonts w:ascii="Calibri" w:hAnsi="Calibri"/>
                <w:sz w:val="20"/>
                <w:szCs w:val="20"/>
              </w:rPr>
              <w:t>N</w:t>
            </w:r>
          </w:p>
        </w:tc>
        <w:tc>
          <w:tcPr>
            <w:tcW w:w="4305" w:type="dxa"/>
          </w:tcPr>
          <w:p w:rsidR="00081A35" w:rsidRDefault="00081A35">
            <w:pPr>
              <w:rPr>
                <w:b/>
                <w:sz w:val="20"/>
                <w:szCs w:val="20"/>
              </w:rPr>
            </w:pPr>
          </w:p>
        </w:tc>
      </w:tr>
      <w:tr w:rsidR="00081A35" w:rsidTr="00652A1A">
        <w:tc>
          <w:tcPr>
            <w:tcW w:w="1098" w:type="dxa"/>
          </w:tcPr>
          <w:p w:rsidR="00081A35" w:rsidRDefault="00081A35">
            <w:pPr>
              <w:rPr>
                <w:rFonts w:ascii="Calibri" w:hAnsi="Calibri"/>
                <w:sz w:val="20"/>
                <w:szCs w:val="20"/>
              </w:rPr>
            </w:pPr>
            <w:r>
              <w:rPr>
                <w:rFonts w:ascii="Calibri" w:hAnsi="Calibri"/>
                <w:sz w:val="20"/>
                <w:szCs w:val="20"/>
              </w:rPr>
              <w:t>A.3.19</w:t>
            </w:r>
          </w:p>
        </w:tc>
        <w:tc>
          <w:tcPr>
            <w:tcW w:w="4748" w:type="dxa"/>
          </w:tcPr>
          <w:p w:rsidR="00081A35" w:rsidRDefault="00081A35">
            <w:pPr>
              <w:rPr>
                <w:rFonts w:ascii="Calibri" w:hAnsi="Calibri"/>
                <w:sz w:val="20"/>
                <w:szCs w:val="20"/>
              </w:rPr>
            </w:pPr>
            <w:r>
              <w:rPr>
                <w:rFonts w:ascii="Calibri" w:hAnsi="Calibri"/>
                <w:sz w:val="20"/>
                <w:szCs w:val="20"/>
              </w:rPr>
              <w:t>Does the company provide the rationale and explanation for each agenda item which require shareholders’ approval in the notice of AGM/circulars and/or the accompanying statement?</w:t>
            </w:r>
          </w:p>
        </w:tc>
        <w:tc>
          <w:tcPr>
            <w:tcW w:w="4079" w:type="dxa"/>
            <w:vMerge/>
            <w:vAlign w:val="center"/>
          </w:tcPr>
          <w:p w:rsidR="00081A35" w:rsidRDefault="00081A35">
            <w:pPr>
              <w:rPr>
                <w:rFonts w:ascii="Calibri" w:hAnsi="Calibri"/>
                <w:sz w:val="20"/>
                <w:szCs w:val="20"/>
              </w:rPr>
            </w:pPr>
          </w:p>
        </w:tc>
        <w:tc>
          <w:tcPr>
            <w:tcW w:w="1170" w:type="dxa"/>
            <w:vAlign w:val="center"/>
          </w:tcPr>
          <w:p w:rsidR="00081A35" w:rsidRDefault="00D319E1">
            <w:pPr>
              <w:jc w:val="center"/>
              <w:rPr>
                <w:rFonts w:ascii="Calibri" w:hAnsi="Calibri"/>
                <w:sz w:val="20"/>
                <w:szCs w:val="20"/>
              </w:rPr>
            </w:pPr>
            <w:r>
              <w:rPr>
                <w:rFonts w:ascii="Calibri" w:hAnsi="Calibri"/>
                <w:sz w:val="20"/>
                <w:szCs w:val="20"/>
              </w:rPr>
              <w:t>Y</w:t>
            </w:r>
          </w:p>
        </w:tc>
        <w:tc>
          <w:tcPr>
            <w:tcW w:w="4305" w:type="dxa"/>
          </w:tcPr>
          <w:p w:rsidR="00081A35" w:rsidRDefault="00D319E1" w:rsidP="00D319E1">
            <w:pPr>
              <w:rPr>
                <w:b/>
                <w:sz w:val="20"/>
                <w:szCs w:val="20"/>
              </w:rPr>
            </w:pPr>
            <w:r>
              <w:rPr>
                <w:b/>
                <w:sz w:val="20"/>
                <w:szCs w:val="20"/>
              </w:rPr>
              <w:t xml:space="preserve">All items that </w:t>
            </w:r>
            <w:r w:rsidR="004452A1">
              <w:rPr>
                <w:b/>
                <w:sz w:val="20"/>
                <w:szCs w:val="20"/>
              </w:rPr>
              <w:t>are</w:t>
            </w:r>
            <w:r>
              <w:rPr>
                <w:b/>
                <w:sz w:val="20"/>
                <w:szCs w:val="20"/>
              </w:rPr>
              <w:t xml:space="preserve"> included</w:t>
            </w:r>
            <w:r w:rsidR="004452A1">
              <w:rPr>
                <w:b/>
                <w:sz w:val="20"/>
                <w:szCs w:val="20"/>
              </w:rPr>
              <w:t xml:space="preserve"> o</w:t>
            </w:r>
            <w:r>
              <w:rPr>
                <w:b/>
                <w:sz w:val="20"/>
                <w:szCs w:val="20"/>
              </w:rPr>
              <w:t>n the agenda of meeting</w:t>
            </w:r>
            <w:r w:rsidR="004452A1">
              <w:rPr>
                <w:b/>
                <w:sz w:val="20"/>
                <w:szCs w:val="20"/>
              </w:rPr>
              <w:t>s</w:t>
            </w:r>
            <w:r>
              <w:rPr>
                <w:b/>
                <w:sz w:val="20"/>
                <w:szCs w:val="20"/>
              </w:rPr>
              <w:t xml:space="preserve"> are thoroughly discussed </w:t>
            </w:r>
            <w:r w:rsidR="00750C04">
              <w:rPr>
                <w:b/>
                <w:sz w:val="20"/>
                <w:szCs w:val="20"/>
              </w:rPr>
              <w:t xml:space="preserve">by the board </w:t>
            </w:r>
            <w:r>
              <w:rPr>
                <w:b/>
                <w:sz w:val="20"/>
                <w:szCs w:val="20"/>
              </w:rPr>
              <w:t>during the meeting</w:t>
            </w:r>
            <w:r w:rsidR="00D6635D">
              <w:rPr>
                <w:b/>
                <w:sz w:val="20"/>
                <w:szCs w:val="20"/>
              </w:rPr>
              <w:t xml:space="preserve">, ex. </w:t>
            </w:r>
            <w:hyperlink r:id="rId29" w:history="1">
              <w:r w:rsidR="00D6635D" w:rsidRPr="00D6635D">
                <w:rPr>
                  <w:rStyle w:val="Hyperlink"/>
                  <w:b/>
                  <w:sz w:val="20"/>
                  <w:szCs w:val="20"/>
                </w:rPr>
                <w:t>AGM 2015</w:t>
              </w:r>
            </w:hyperlink>
            <w:r>
              <w:rPr>
                <w:b/>
                <w:sz w:val="20"/>
                <w:szCs w:val="20"/>
              </w:rPr>
              <w:t xml:space="preserve">. </w:t>
            </w:r>
          </w:p>
          <w:p w:rsidR="00D319E1" w:rsidRDefault="00D319E1" w:rsidP="00D6635D">
            <w:pPr>
              <w:rPr>
                <w:b/>
                <w:sz w:val="20"/>
                <w:szCs w:val="20"/>
              </w:rPr>
            </w:pPr>
          </w:p>
        </w:tc>
      </w:tr>
      <w:tr w:rsidR="00F47B57" w:rsidTr="00652A1A">
        <w:tc>
          <w:tcPr>
            <w:tcW w:w="15400" w:type="dxa"/>
            <w:gridSpan w:val="5"/>
          </w:tcPr>
          <w:p w:rsidR="00F47B57" w:rsidRDefault="00F47B57">
            <w:pPr>
              <w:rPr>
                <w:b/>
                <w:sz w:val="20"/>
                <w:szCs w:val="20"/>
              </w:rPr>
            </w:pPr>
          </w:p>
        </w:tc>
      </w:tr>
      <w:tr w:rsidR="00F47B57" w:rsidTr="00652A1A">
        <w:tc>
          <w:tcPr>
            <w:tcW w:w="15400" w:type="dxa"/>
            <w:gridSpan w:val="5"/>
            <w:shd w:val="clear" w:color="auto" w:fill="FBD4B4" w:themeFill="accent6" w:themeFillTint="66"/>
          </w:tcPr>
          <w:p w:rsidR="00F47B57" w:rsidRPr="00F47B57" w:rsidRDefault="00F47B57">
            <w:pPr>
              <w:rPr>
                <w:b/>
                <w:sz w:val="20"/>
                <w:szCs w:val="20"/>
              </w:rPr>
            </w:pPr>
            <w:r>
              <w:rPr>
                <w:b/>
                <w:sz w:val="20"/>
                <w:szCs w:val="20"/>
              </w:rPr>
              <w:t xml:space="preserve">A.4 </w:t>
            </w:r>
            <w:r>
              <w:rPr>
                <w:rFonts w:ascii="Calibri" w:hAnsi="Calibri"/>
                <w:b/>
                <w:bCs/>
                <w:sz w:val="20"/>
                <w:szCs w:val="20"/>
              </w:rPr>
              <w:t>Markets for corporate control should be allowed to function in an efficient and transparent manner.</w:t>
            </w:r>
          </w:p>
        </w:tc>
      </w:tr>
      <w:tr w:rsidR="00F47B57" w:rsidTr="00652A1A">
        <w:tc>
          <w:tcPr>
            <w:tcW w:w="1098" w:type="dxa"/>
          </w:tcPr>
          <w:p w:rsidR="00F47B57" w:rsidRDefault="00F47B57">
            <w:pPr>
              <w:rPr>
                <w:rFonts w:ascii="Calibri" w:hAnsi="Calibri"/>
                <w:sz w:val="20"/>
                <w:szCs w:val="20"/>
              </w:rPr>
            </w:pPr>
            <w:r>
              <w:rPr>
                <w:rFonts w:ascii="Calibri" w:hAnsi="Calibri"/>
                <w:sz w:val="20"/>
                <w:szCs w:val="20"/>
              </w:rPr>
              <w:t>A.4.1</w:t>
            </w:r>
          </w:p>
        </w:tc>
        <w:tc>
          <w:tcPr>
            <w:tcW w:w="4748" w:type="dxa"/>
          </w:tcPr>
          <w:p w:rsidR="00F47B57" w:rsidRDefault="00F47B57">
            <w:pPr>
              <w:rPr>
                <w:rFonts w:ascii="Calibri" w:hAnsi="Calibri"/>
                <w:sz w:val="20"/>
                <w:szCs w:val="20"/>
              </w:rPr>
            </w:pPr>
            <w:r w:rsidRPr="00D6635D">
              <w:rPr>
                <w:rFonts w:ascii="Calibri" w:hAnsi="Calibri"/>
                <w:sz w:val="20"/>
                <w:szCs w:val="20"/>
              </w:rPr>
              <w:t>In cases of mergers, acquisitions and/or takeovers requiring shareholders approval, does the board of directors/commissioners of the offeree company appoint an independent party to evaluate the fairness of the transaction price?</w:t>
            </w:r>
          </w:p>
        </w:tc>
        <w:tc>
          <w:tcPr>
            <w:tcW w:w="4079" w:type="dxa"/>
          </w:tcPr>
          <w:p w:rsidR="00F47B57" w:rsidRDefault="00F47B57">
            <w:pPr>
              <w:rPr>
                <w:rFonts w:ascii="Calibri" w:hAnsi="Calibri"/>
                <w:sz w:val="20"/>
                <w:szCs w:val="20"/>
              </w:rPr>
            </w:pPr>
            <w:r>
              <w:rPr>
                <w:rFonts w:ascii="Calibri" w:hAnsi="Calibri"/>
                <w:b/>
                <w:bCs/>
                <w:sz w:val="20"/>
                <w:szCs w:val="20"/>
              </w:rPr>
              <w:t>OECD Principle II (E):</w:t>
            </w:r>
            <w:r>
              <w:rPr>
                <w:rFonts w:ascii="Calibri" w:hAnsi="Calibri"/>
                <w:sz w:val="20"/>
                <w:szCs w:val="20"/>
              </w:rPr>
              <w:br/>
              <w:t xml:space="preserve">Markets for corporate control should be allowed to function in an efficient and transparent manner. </w:t>
            </w:r>
            <w:r>
              <w:rPr>
                <w:rFonts w:ascii="Calibri" w:hAnsi="Calibri"/>
                <w:sz w:val="20"/>
                <w:szCs w:val="20"/>
              </w:rPr>
              <w:br/>
            </w:r>
            <w:r>
              <w:rPr>
                <w:rFonts w:ascii="Calibri" w:hAnsi="Calibri"/>
                <w:sz w:val="20"/>
                <w:szCs w:val="20"/>
              </w:rPr>
              <w:br/>
              <w:t xml:space="preserve">(1) The rules and procedures governing the </w:t>
            </w:r>
            <w:r>
              <w:rPr>
                <w:rFonts w:ascii="Calibri" w:hAnsi="Calibri"/>
                <w:sz w:val="20"/>
                <w:szCs w:val="20"/>
              </w:rPr>
              <w:lastRenderedPageBreak/>
              <w:t>acquisition of corporate control in the capital markets, and extraordinary transactions such as mergers, and sales of substantial portions of corporate assets, should be clearly articulated and disclosed so that investors understand their rights and recourse. Transactions should occur at transparent prices and under fair conditions that protect the rights of all shareholders according to their class.</w:t>
            </w:r>
          </w:p>
        </w:tc>
        <w:tc>
          <w:tcPr>
            <w:tcW w:w="1170" w:type="dxa"/>
            <w:vAlign w:val="center"/>
          </w:tcPr>
          <w:p w:rsidR="00F47B57" w:rsidRDefault="00DB582D">
            <w:pPr>
              <w:jc w:val="center"/>
              <w:rPr>
                <w:rFonts w:ascii="Calibri" w:hAnsi="Calibri"/>
                <w:sz w:val="20"/>
                <w:szCs w:val="20"/>
              </w:rPr>
            </w:pPr>
            <w:r>
              <w:rPr>
                <w:rFonts w:ascii="Calibri" w:hAnsi="Calibri"/>
                <w:sz w:val="20"/>
                <w:szCs w:val="20"/>
              </w:rPr>
              <w:lastRenderedPageBreak/>
              <w:t>N</w:t>
            </w:r>
          </w:p>
        </w:tc>
        <w:tc>
          <w:tcPr>
            <w:tcW w:w="4305" w:type="dxa"/>
          </w:tcPr>
          <w:p w:rsidR="00F47B57" w:rsidRDefault="00F47B57">
            <w:pPr>
              <w:rPr>
                <w:b/>
                <w:sz w:val="20"/>
                <w:szCs w:val="20"/>
              </w:rPr>
            </w:pPr>
          </w:p>
        </w:tc>
      </w:tr>
      <w:tr w:rsidR="00F47B57" w:rsidTr="00652A1A">
        <w:tc>
          <w:tcPr>
            <w:tcW w:w="15400" w:type="dxa"/>
            <w:gridSpan w:val="5"/>
          </w:tcPr>
          <w:p w:rsidR="00F47B57" w:rsidRDefault="00F47B57">
            <w:pPr>
              <w:rPr>
                <w:b/>
                <w:sz w:val="20"/>
                <w:szCs w:val="20"/>
              </w:rPr>
            </w:pPr>
          </w:p>
        </w:tc>
      </w:tr>
      <w:tr w:rsidR="00F47B57" w:rsidTr="00652A1A">
        <w:tc>
          <w:tcPr>
            <w:tcW w:w="15400" w:type="dxa"/>
            <w:gridSpan w:val="5"/>
          </w:tcPr>
          <w:p w:rsidR="00F47B57" w:rsidRPr="00F47B57" w:rsidRDefault="00F47B57">
            <w:pPr>
              <w:rPr>
                <w:b/>
                <w:sz w:val="20"/>
                <w:szCs w:val="20"/>
              </w:rPr>
            </w:pPr>
            <w:r>
              <w:rPr>
                <w:b/>
                <w:sz w:val="20"/>
                <w:szCs w:val="20"/>
              </w:rPr>
              <w:t xml:space="preserve">A.5 </w:t>
            </w:r>
            <w:r>
              <w:rPr>
                <w:rFonts w:ascii="Calibri" w:hAnsi="Calibri"/>
                <w:b/>
                <w:bCs/>
                <w:sz w:val="20"/>
                <w:szCs w:val="20"/>
              </w:rPr>
              <w:t>The exercise of ownership rights by all shareholders, including institutional investors, should be facilitated.</w:t>
            </w:r>
          </w:p>
        </w:tc>
      </w:tr>
      <w:tr w:rsidR="00F47B57" w:rsidTr="00652A1A">
        <w:tc>
          <w:tcPr>
            <w:tcW w:w="1098" w:type="dxa"/>
          </w:tcPr>
          <w:p w:rsidR="00F47B57" w:rsidRDefault="00F47B57">
            <w:pPr>
              <w:rPr>
                <w:rFonts w:ascii="Calibri" w:hAnsi="Calibri"/>
                <w:sz w:val="20"/>
                <w:szCs w:val="20"/>
              </w:rPr>
            </w:pPr>
            <w:r>
              <w:rPr>
                <w:rFonts w:ascii="Calibri" w:hAnsi="Calibri"/>
                <w:sz w:val="20"/>
                <w:szCs w:val="20"/>
              </w:rPr>
              <w:t>A.5.1</w:t>
            </w:r>
          </w:p>
        </w:tc>
        <w:tc>
          <w:tcPr>
            <w:tcW w:w="4748" w:type="dxa"/>
          </w:tcPr>
          <w:p w:rsidR="00F47B57" w:rsidRDefault="00F47B57">
            <w:pPr>
              <w:rPr>
                <w:rFonts w:ascii="Calibri" w:hAnsi="Calibri"/>
                <w:sz w:val="20"/>
                <w:szCs w:val="20"/>
              </w:rPr>
            </w:pPr>
            <w:r>
              <w:rPr>
                <w:rFonts w:ascii="Calibri" w:hAnsi="Calibri"/>
                <w:sz w:val="20"/>
                <w:szCs w:val="20"/>
              </w:rPr>
              <w:t>Does the Company publicly disclose policy/practice to encourage shareholders including institutional shareholders to attend the general meetings or engagement with the Company?</w:t>
            </w:r>
          </w:p>
        </w:tc>
        <w:tc>
          <w:tcPr>
            <w:tcW w:w="4079" w:type="dxa"/>
          </w:tcPr>
          <w:p w:rsidR="00F47B57" w:rsidRDefault="00F47B57">
            <w:pPr>
              <w:rPr>
                <w:rFonts w:ascii="Calibri" w:hAnsi="Calibri"/>
                <w:sz w:val="20"/>
                <w:szCs w:val="20"/>
              </w:rPr>
            </w:pPr>
            <w:r>
              <w:rPr>
                <w:rFonts w:ascii="Calibri" w:hAnsi="Calibri"/>
                <w:b/>
                <w:bCs/>
                <w:sz w:val="20"/>
                <w:szCs w:val="20"/>
              </w:rPr>
              <w:t>OECD Principle II (F):</w:t>
            </w:r>
            <w:r>
              <w:rPr>
                <w:rFonts w:ascii="Calibri" w:hAnsi="Calibri"/>
                <w:sz w:val="20"/>
                <w:szCs w:val="20"/>
              </w:rPr>
              <w:t xml:space="preserve"> </w:t>
            </w:r>
            <w:r>
              <w:rPr>
                <w:rFonts w:ascii="Calibri" w:hAnsi="Calibri"/>
                <w:sz w:val="20"/>
                <w:szCs w:val="20"/>
              </w:rPr>
              <w:br/>
              <w:t>The exercise of ownership rights by all shareholders, including institutional investors, should be facilitated.</w:t>
            </w:r>
          </w:p>
        </w:tc>
        <w:tc>
          <w:tcPr>
            <w:tcW w:w="1170" w:type="dxa"/>
            <w:vAlign w:val="center"/>
          </w:tcPr>
          <w:p w:rsidR="00F47B57" w:rsidRDefault="00F47B57">
            <w:pPr>
              <w:jc w:val="center"/>
              <w:rPr>
                <w:rFonts w:ascii="Calibri" w:hAnsi="Calibri"/>
                <w:sz w:val="20"/>
                <w:szCs w:val="20"/>
              </w:rPr>
            </w:pPr>
          </w:p>
        </w:tc>
        <w:tc>
          <w:tcPr>
            <w:tcW w:w="4305" w:type="dxa"/>
          </w:tcPr>
          <w:p w:rsidR="00F47B57" w:rsidRDefault="00EB16D4">
            <w:pPr>
              <w:rPr>
                <w:b/>
                <w:sz w:val="20"/>
                <w:szCs w:val="20"/>
              </w:rPr>
            </w:pPr>
            <w:r>
              <w:rPr>
                <w:b/>
                <w:sz w:val="20"/>
                <w:szCs w:val="20"/>
              </w:rPr>
              <w:t xml:space="preserve">One of the General </w:t>
            </w:r>
            <w:r w:rsidR="00D77965">
              <w:rPr>
                <w:b/>
                <w:sz w:val="20"/>
                <w:szCs w:val="20"/>
              </w:rPr>
              <w:t>Responsibilities</w:t>
            </w:r>
            <w:r>
              <w:rPr>
                <w:b/>
                <w:sz w:val="20"/>
                <w:szCs w:val="20"/>
              </w:rPr>
              <w:t xml:space="preserve"> of the Board is to meet regularly to discharge its duties efficiently as provided under the </w:t>
            </w:r>
            <w:hyperlink r:id="rId30" w:history="1">
              <w:r w:rsidRPr="003B7CFB">
                <w:rPr>
                  <w:rStyle w:val="Hyperlink"/>
                  <w:b/>
                  <w:sz w:val="20"/>
                  <w:szCs w:val="20"/>
                </w:rPr>
                <w:t>Art. 4 (1) of the Manua</w:t>
              </w:r>
              <w:r w:rsidR="00641D98" w:rsidRPr="003B7CFB">
                <w:rPr>
                  <w:rStyle w:val="Hyperlink"/>
                  <w:b/>
                  <w:sz w:val="20"/>
                  <w:szCs w:val="20"/>
                </w:rPr>
                <w:t>l on Corporate Governance</w:t>
              </w:r>
            </w:hyperlink>
            <w:r w:rsidR="00641D98">
              <w:rPr>
                <w:b/>
                <w:sz w:val="20"/>
                <w:szCs w:val="20"/>
              </w:rPr>
              <w:t xml:space="preserve"> of MAAGAP</w:t>
            </w:r>
            <w:r>
              <w:rPr>
                <w:b/>
                <w:sz w:val="20"/>
                <w:szCs w:val="20"/>
              </w:rPr>
              <w:t>.</w:t>
            </w:r>
          </w:p>
          <w:p w:rsidR="00641D98" w:rsidRDefault="00641D98" w:rsidP="003B7CFB">
            <w:pPr>
              <w:rPr>
                <w:b/>
                <w:sz w:val="20"/>
                <w:szCs w:val="20"/>
              </w:rPr>
            </w:pPr>
          </w:p>
        </w:tc>
      </w:tr>
    </w:tbl>
    <w:p w:rsidR="009276C6" w:rsidRDefault="009276C6"/>
    <w:p w:rsidR="003B7CFB" w:rsidRDefault="003B7CFB"/>
    <w:p w:rsidR="00CC4AC9" w:rsidRDefault="00CC4AC9"/>
    <w:p w:rsidR="00CC4AC9" w:rsidRDefault="00CC4AC9"/>
    <w:p w:rsidR="00CC4AC9" w:rsidRDefault="00CC4AC9"/>
    <w:p w:rsidR="00CC4AC9" w:rsidRDefault="00CC4AC9"/>
    <w:p w:rsidR="00CC4AC9" w:rsidRDefault="00CC4AC9"/>
    <w:p w:rsidR="00CC4AC9" w:rsidRDefault="00CC4AC9"/>
    <w:p w:rsidR="00CC4AC9" w:rsidRDefault="00CC4AC9"/>
    <w:p w:rsidR="00CC4AC9" w:rsidRDefault="00CC4AC9"/>
    <w:p w:rsidR="00CC4AC9" w:rsidRDefault="00CC4AC9"/>
    <w:p w:rsidR="007D79CE" w:rsidRPr="007202BF" w:rsidRDefault="007D79CE">
      <w:pPr>
        <w:rPr>
          <w:b/>
          <w:sz w:val="20"/>
          <w:szCs w:val="20"/>
        </w:rPr>
      </w:pPr>
    </w:p>
    <w:sectPr w:rsidR="007D79CE" w:rsidRPr="007202BF" w:rsidSect="00652A1A">
      <w:type w:val="continuous"/>
      <w:pgSz w:w="16839"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A65" w:rsidRDefault="00C61A65" w:rsidP="004E1600">
      <w:pPr>
        <w:spacing w:after="0" w:line="240" w:lineRule="auto"/>
      </w:pPr>
      <w:r>
        <w:separator/>
      </w:r>
    </w:p>
  </w:endnote>
  <w:endnote w:type="continuationSeparator" w:id="1">
    <w:p w:rsidR="00C61A65" w:rsidRDefault="00C61A65" w:rsidP="004E1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A65" w:rsidRDefault="00C61A65" w:rsidP="004E1600">
      <w:pPr>
        <w:spacing w:after="0" w:line="240" w:lineRule="auto"/>
      </w:pPr>
      <w:r>
        <w:separator/>
      </w:r>
    </w:p>
  </w:footnote>
  <w:footnote w:type="continuationSeparator" w:id="1">
    <w:p w:rsidR="00C61A65" w:rsidRDefault="00C61A65" w:rsidP="004E1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A1" w:rsidRDefault="009765A8">
    <w:pPr>
      <w:pStyle w:val="Header"/>
    </w:pPr>
    <w:r>
      <w:rPr>
        <w:noProof/>
      </w:rPr>
      <w:pict>
        <v:rect id="_x0000_s2051" style="position:absolute;margin-left:165pt;margin-top:-9pt;width:605pt;height:18pt;z-index:251659264" fillcolor="black [3200]" stroked="f" strokecolor="#f2f2f2 [3041]" strokeweight="3pt">
          <v:fill color2="fill lighten(51)" focusposition="1" focussize="" method="linear sigma" type="gradient"/>
          <v:shadow on="t" type="perspective" color="#7f7f7f [1601]" opacity=".5" offset="1pt" offset2="-1pt"/>
          <v:textbox style="mso-next-textbox:#_x0000_s2051">
            <w:txbxContent>
              <w:p w:rsidR="004452A1" w:rsidRPr="002043DA" w:rsidRDefault="004452A1" w:rsidP="002043DA">
                <w:pPr>
                  <w:jc w:val="center"/>
                  <w:rPr>
                    <w:b/>
                    <w:sz w:val="20"/>
                  </w:rPr>
                </w:pPr>
                <w:r>
                  <w:rPr>
                    <w:b/>
                    <w:sz w:val="20"/>
                  </w:rPr>
                  <w:t>ASEAN Corporate Governance Scorecard 2014 – Self Assessment</w:t>
                </w:r>
              </w:p>
            </w:txbxContent>
          </v:textbox>
        </v:rect>
      </w:pict>
    </w:r>
    <w:r>
      <w:rPr>
        <w:noProof/>
      </w:rPr>
      <w:pict>
        <v:rect id="_x0000_s2050" style="position:absolute;margin-left:-5.5pt;margin-top:-9pt;width:170.5pt;height:18pt;z-index:251658240" fillcolor="#ffc000">
          <v:fill color2="fill lighten(51)" focusposition="1" focussize="" method="linear sigma" focus="100%" type="gradient"/>
          <v:textbox style="mso-next-textbox:#_x0000_s2050">
            <w:txbxContent>
              <w:p w:rsidR="004452A1" w:rsidRPr="002043DA" w:rsidRDefault="004452A1" w:rsidP="002043DA">
                <w:pPr>
                  <w:jc w:val="center"/>
                  <w:rPr>
                    <w:b/>
                    <w:sz w:val="20"/>
                  </w:rPr>
                </w:pPr>
                <w:r w:rsidRPr="002043DA">
                  <w:rPr>
                    <w:b/>
                    <w:sz w:val="20"/>
                  </w:rPr>
                  <w:t>MAA General Assurance Phils., Inc.</w:t>
                </w: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44034">
      <o:colormenu v:ext="edit" fillcolor="#ffc000" strokecolor="none"/>
    </o:shapedefaults>
    <o:shapelayout v:ext="edit">
      <o:idmap v:ext="edit" data="2"/>
    </o:shapelayout>
  </w:hdrShapeDefaults>
  <w:footnotePr>
    <w:footnote w:id="0"/>
    <w:footnote w:id="1"/>
  </w:footnotePr>
  <w:endnotePr>
    <w:endnote w:id="0"/>
    <w:endnote w:id="1"/>
  </w:endnotePr>
  <w:compat/>
  <w:rsids>
    <w:rsidRoot w:val="004E1600"/>
    <w:rsid w:val="0000430F"/>
    <w:rsid w:val="00006840"/>
    <w:rsid w:val="00041BB2"/>
    <w:rsid w:val="00042875"/>
    <w:rsid w:val="0005345F"/>
    <w:rsid w:val="00063F53"/>
    <w:rsid w:val="000800FB"/>
    <w:rsid w:val="0008127B"/>
    <w:rsid w:val="000814AA"/>
    <w:rsid w:val="00081A35"/>
    <w:rsid w:val="00090AAB"/>
    <w:rsid w:val="000D2D0E"/>
    <w:rsid w:val="000D4369"/>
    <w:rsid w:val="000E040F"/>
    <w:rsid w:val="000E15F3"/>
    <w:rsid w:val="0012123B"/>
    <w:rsid w:val="001216EB"/>
    <w:rsid w:val="00121F93"/>
    <w:rsid w:val="001507BB"/>
    <w:rsid w:val="00162526"/>
    <w:rsid w:val="001A0E20"/>
    <w:rsid w:val="001B2954"/>
    <w:rsid w:val="001B4018"/>
    <w:rsid w:val="001C26DF"/>
    <w:rsid w:val="001D0E7E"/>
    <w:rsid w:val="001E2F8B"/>
    <w:rsid w:val="001E4ACB"/>
    <w:rsid w:val="001F1281"/>
    <w:rsid w:val="001F245A"/>
    <w:rsid w:val="002043DA"/>
    <w:rsid w:val="00224305"/>
    <w:rsid w:val="00231C32"/>
    <w:rsid w:val="0023460F"/>
    <w:rsid w:val="00250B0A"/>
    <w:rsid w:val="00256D91"/>
    <w:rsid w:val="002572BA"/>
    <w:rsid w:val="00261F14"/>
    <w:rsid w:val="00263088"/>
    <w:rsid w:val="002711AF"/>
    <w:rsid w:val="00275DF6"/>
    <w:rsid w:val="00286C81"/>
    <w:rsid w:val="002904C8"/>
    <w:rsid w:val="00291830"/>
    <w:rsid w:val="002A48FF"/>
    <w:rsid w:val="002D0809"/>
    <w:rsid w:val="002D5541"/>
    <w:rsid w:val="002D609C"/>
    <w:rsid w:val="002E0404"/>
    <w:rsid w:val="002F394B"/>
    <w:rsid w:val="002F462A"/>
    <w:rsid w:val="003205DD"/>
    <w:rsid w:val="00322F66"/>
    <w:rsid w:val="00337423"/>
    <w:rsid w:val="00340B5F"/>
    <w:rsid w:val="00342DDF"/>
    <w:rsid w:val="00351876"/>
    <w:rsid w:val="003606AE"/>
    <w:rsid w:val="0037022D"/>
    <w:rsid w:val="0038468D"/>
    <w:rsid w:val="003921B0"/>
    <w:rsid w:val="003963DF"/>
    <w:rsid w:val="003A5C05"/>
    <w:rsid w:val="003B0A64"/>
    <w:rsid w:val="003B5688"/>
    <w:rsid w:val="003B7CFB"/>
    <w:rsid w:val="003C2025"/>
    <w:rsid w:val="003C3B22"/>
    <w:rsid w:val="003D722C"/>
    <w:rsid w:val="00401487"/>
    <w:rsid w:val="00406344"/>
    <w:rsid w:val="00415567"/>
    <w:rsid w:val="0042619B"/>
    <w:rsid w:val="00430277"/>
    <w:rsid w:val="00431560"/>
    <w:rsid w:val="0043331C"/>
    <w:rsid w:val="004452A1"/>
    <w:rsid w:val="00447CFF"/>
    <w:rsid w:val="00491C16"/>
    <w:rsid w:val="00492B4B"/>
    <w:rsid w:val="004A32F9"/>
    <w:rsid w:val="004A7239"/>
    <w:rsid w:val="004A7DC0"/>
    <w:rsid w:val="004B17C4"/>
    <w:rsid w:val="004B570F"/>
    <w:rsid w:val="004C51AC"/>
    <w:rsid w:val="004E1600"/>
    <w:rsid w:val="004E7AD0"/>
    <w:rsid w:val="004F10CB"/>
    <w:rsid w:val="004F3932"/>
    <w:rsid w:val="004F3A9D"/>
    <w:rsid w:val="004F539B"/>
    <w:rsid w:val="004F7BD1"/>
    <w:rsid w:val="0050098A"/>
    <w:rsid w:val="00504072"/>
    <w:rsid w:val="0051332F"/>
    <w:rsid w:val="00552772"/>
    <w:rsid w:val="00555D83"/>
    <w:rsid w:val="005622FB"/>
    <w:rsid w:val="005649EE"/>
    <w:rsid w:val="00567712"/>
    <w:rsid w:val="005B62F4"/>
    <w:rsid w:val="005C018F"/>
    <w:rsid w:val="005C3AA3"/>
    <w:rsid w:val="005C5E22"/>
    <w:rsid w:val="005E02D2"/>
    <w:rsid w:val="005F3734"/>
    <w:rsid w:val="005F6F32"/>
    <w:rsid w:val="0060530C"/>
    <w:rsid w:val="00607C43"/>
    <w:rsid w:val="00612C42"/>
    <w:rsid w:val="006313DC"/>
    <w:rsid w:val="00631615"/>
    <w:rsid w:val="00641D98"/>
    <w:rsid w:val="00646031"/>
    <w:rsid w:val="00652A1A"/>
    <w:rsid w:val="00667626"/>
    <w:rsid w:val="00696812"/>
    <w:rsid w:val="006B6B41"/>
    <w:rsid w:val="00701489"/>
    <w:rsid w:val="00701761"/>
    <w:rsid w:val="00701F26"/>
    <w:rsid w:val="00703663"/>
    <w:rsid w:val="00706C79"/>
    <w:rsid w:val="00715C91"/>
    <w:rsid w:val="00716BE8"/>
    <w:rsid w:val="007202BF"/>
    <w:rsid w:val="00720917"/>
    <w:rsid w:val="00724589"/>
    <w:rsid w:val="00726F8F"/>
    <w:rsid w:val="00730FBA"/>
    <w:rsid w:val="00745E83"/>
    <w:rsid w:val="00750237"/>
    <w:rsid w:val="00750C04"/>
    <w:rsid w:val="00757D94"/>
    <w:rsid w:val="00785844"/>
    <w:rsid w:val="00787DF9"/>
    <w:rsid w:val="00797547"/>
    <w:rsid w:val="007A1413"/>
    <w:rsid w:val="007A431F"/>
    <w:rsid w:val="007A7608"/>
    <w:rsid w:val="007B698A"/>
    <w:rsid w:val="007D0059"/>
    <w:rsid w:val="007D23B4"/>
    <w:rsid w:val="007D5933"/>
    <w:rsid w:val="007D79CE"/>
    <w:rsid w:val="007E46A8"/>
    <w:rsid w:val="007F2E95"/>
    <w:rsid w:val="007F495F"/>
    <w:rsid w:val="007F7436"/>
    <w:rsid w:val="00802F3C"/>
    <w:rsid w:val="0081064B"/>
    <w:rsid w:val="00815A93"/>
    <w:rsid w:val="00817967"/>
    <w:rsid w:val="0082208A"/>
    <w:rsid w:val="00835C1A"/>
    <w:rsid w:val="00835FE7"/>
    <w:rsid w:val="00837653"/>
    <w:rsid w:val="00850DBC"/>
    <w:rsid w:val="008552B6"/>
    <w:rsid w:val="0085734A"/>
    <w:rsid w:val="008646A5"/>
    <w:rsid w:val="00866C40"/>
    <w:rsid w:val="008930FD"/>
    <w:rsid w:val="008B0BCC"/>
    <w:rsid w:val="008B15A3"/>
    <w:rsid w:val="008C1225"/>
    <w:rsid w:val="008C5310"/>
    <w:rsid w:val="008E56A2"/>
    <w:rsid w:val="0090295D"/>
    <w:rsid w:val="00904BA9"/>
    <w:rsid w:val="009120FF"/>
    <w:rsid w:val="00913897"/>
    <w:rsid w:val="009163F1"/>
    <w:rsid w:val="00927222"/>
    <w:rsid w:val="009276C6"/>
    <w:rsid w:val="00935730"/>
    <w:rsid w:val="00935927"/>
    <w:rsid w:val="00941BB3"/>
    <w:rsid w:val="00941F13"/>
    <w:rsid w:val="009542D7"/>
    <w:rsid w:val="009765A8"/>
    <w:rsid w:val="009A6A98"/>
    <w:rsid w:val="009B33FC"/>
    <w:rsid w:val="009C10FE"/>
    <w:rsid w:val="00A06B7C"/>
    <w:rsid w:val="00A167B4"/>
    <w:rsid w:val="00A21DB1"/>
    <w:rsid w:val="00A322BB"/>
    <w:rsid w:val="00A323ED"/>
    <w:rsid w:val="00A37C54"/>
    <w:rsid w:val="00A4215F"/>
    <w:rsid w:val="00A624CB"/>
    <w:rsid w:val="00A65487"/>
    <w:rsid w:val="00A6721F"/>
    <w:rsid w:val="00A70B7E"/>
    <w:rsid w:val="00A779BF"/>
    <w:rsid w:val="00A80F92"/>
    <w:rsid w:val="00A83110"/>
    <w:rsid w:val="00AA08AF"/>
    <w:rsid w:val="00AA312C"/>
    <w:rsid w:val="00AA6A1A"/>
    <w:rsid w:val="00AC45EA"/>
    <w:rsid w:val="00AC6B1D"/>
    <w:rsid w:val="00AF37CB"/>
    <w:rsid w:val="00AF6176"/>
    <w:rsid w:val="00B034F2"/>
    <w:rsid w:val="00B0741C"/>
    <w:rsid w:val="00B274F5"/>
    <w:rsid w:val="00B27E88"/>
    <w:rsid w:val="00B30767"/>
    <w:rsid w:val="00B4283C"/>
    <w:rsid w:val="00B45E64"/>
    <w:rsid w:val="00B46CCD"/>
    <w:rsid w:val="00B66C1D"/>
    <w:rsid w:val="00B66FE8"/>
    <w:rsid w:val="00B840AF"/>
    <w:rsid w:val="00B84FC9"/>
    <w:rsid w:val="00B93308"/>
    <w:rsid w:val="00BD7F69"/>
    <w:rsid w:val="00BE36E4"/>
    <w:rsid w:val="00BF20E3"/>
    <w:rsid w:val="00BF3E02"/>
    <w:rsid w:val="00BF5AC4"/>
    <w:rsid w:val="00C121F2"/>
    <w:rsid w:val="00C17C90"/>
    <w:rsid w:val="00C3218F"/>
    <w:rsid w:val="00C41ACA"/>
    <w:rsid w:val="00C5066D"/>
    <w:rsid w:val="00C509E2"/>
    <w:rsid w:val="00C50C2E"/>
    <w:rsid w:val="00C61A65"/>
    <w:rsid w:val="00C65CF7"/>
    <w:rsid w:val="00C70A24"/>
    <w:rsid w:val="00C74884"/>
    <w:rsid w:val="00C95253"/>
    <w:rsid w:val="00CA351F"/>
    <w:rsid w:val="00CB122C"/>
    <w:rsid w:val="00CB6727"/>
    <w:rsid w:val="00CB6F95"/>
    <w:rsid w:val="00CC4AC9"/>
    <w:rsid w:val="00CD6C5A"/>
    <w:rsid w:val="00CE1577"/>
    <w:rsid w:val="00CE322B"/>
    <w:rsid w:val="00CE40F9"/>
    <w:rsid w:val="00CF18F0"/>
    <w:rsid w:val="00CF66D0"/>
    <w:rsid w:val="00CF6FC6"/>
    <w:rsid w:val="00D16464"/>
    <w:rsid w:val="00D319E1"/>
    <w:rsid w:val="00D31A0E"/>
    <w:rsid w:val="00D406D0"/>
    <w:rsid w:val="00D513FE"/>
    <w:rsid w:val="00D6635D"/>
    <w:rsid w:val="00D77965"/>
    <w:rsid w:val="00D81519"/>
    <w:rsid w:val="00D8731B"/>
    <w:rsid w:val="00D92005"/>
    <w:rsid w:val="00DB582D"/>
    <w:rsid w:val="00DD64A0"/>
    <w:rsid w:val="00DF6714"/>
    <w:rsid w:val="00DF7F44"/>
    <w:rsid w:val="00E016DC"/>
    <w:rsid w:val="00E02B67"/>
    <w:rsid w:val="00E02C4F"/>
    <w:rsid w:val="00E12229"/>
    <w:rsid w:val="00E1262B"/>
    <w:rsid w:val="00E15C6E"/>
    <w:rsid w:val="00E27E18"/>
    <w:rsid w:val="00E34F90"/>
    <w:rsid w:val="00E415FD"/>
    <w:rsid w:val="00E42D38"/>
    <w:rsid w:val="00E53FEE"/>
    <w:rsid w:val="00E640AB"/>
    <w:rsid w:val="00E80A1A"/>
    <w:rsid w:val="00E858F3"/>
    <w:rsid w:val="00EA26FB"/>
    <w:rsid w:val="00EB16D4"/>
    <w:rsid w:val="00EC23C7"/>
    <w:rsid w:val="00EC7354"/>
    <w:rsid w:val="00ED0DFB"/>
    <w:rsid w:val="00ED372D"/>
    <w:rsid w:val="00EE17F1"/>
    <w:rsid w:val="00EE3A7E"/>
    <w:rsid w:val="00F26BA5"/>
    <w:rsid w:val="00F2744B"/>
    <w:rsid w:val="00F30E62"/>
    <w:rsid w:val="00F40B8B"/>
    <w:rsid w:val="00F471EA"/>
    <w:rsid w:val="00F47B57"/>
    <w:rsid w:val="00F65FD7"/>
    <w:rsid w:val="00F75BD3"/>
    <w:rsid w:val="00FA6D35"/>
    <w:rsid w:val="00FB0EF3"/>
    <w:rsid w:val="00FD0EA9"/>
    <w:rsid w:val="00FF2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1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600"/>
  </w:style>
  <w:style w:type="paragraph" w:styleId="Footer">
    <w:name w:val="footer"/>
    <w:basedOn w:val="Normal"/>
    <w:link w:val="FooterChar"/>
    <w:uiPriority w:val="99"/>
    <w:semiHidden/>
    <w:unhideWhenUsed/>
    <w:rsid w:val="004E1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600"/>
  </w:style>
  <w:style w:type="paragraph" w:styleId="NoSpacing">
    <w:name w:val="No Spacing"/>
    <w:uiPriority w:val="1"/>
    <w:qFormat/>
    <w:rsid w:val="00BF20E3"/>
    <w:pPr>
      <w:spacing w:after="0" w:line="240" w:lineRule="auto"/>
    </w:pPr>
  </w:style>
  <w:style w:type="character" w:styleId="Hyperlink">
    <w:name w:val="Hyperlink"/>
    <w:basedOn w:val="DefaultParagraphFont"/>
    <w:uiPriority w:val="99"/>
    <w:unhideWhenUsed/>
    <w:rsid w:val="00286C81"/>
    <w:rPr>
      <w:color w:val="0000FF" w:themeColor="hyperlink"/>
      <w:u w:val="single"/>
    </w:rPr>
  </w:style>
  <w:style w:type="character" w:styleId="FollowedHyperlink">
    <w:name w:val="FollowedHyperlink"/>
    <w:basedOn w:val="DefaultParagraphFont"/>
    <w:uiPriority w:val="99"/>
    <w:semiHidden/>
    <w:unhideWhenUsed/>
    <w:rsid w:val="00286C81"/>
    <w:rPr>
      <w:color w:val="800080" w:themeColor="followedHyperlink"/>
      <w:u w:val="single"/>
    </w:rPr>
  </w:style>
  <w:style w:type="paragraph" w:styleId="DocumentMap">
    <w:name w:val="Document Map"/>
    <w:basedOn w:val="Normal"/>
    <w:link w:val="DocumentMapChar"/>
    <w:uiPriority w:val="99"/>
    <w:semiHidden/>
    <w:unhideWhenUsed/>
    <w:rsid w:val="000814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14AA"/>
    <w:rPr>
      <w:rFonts w:ascii="Tahoma" w:hAnsi="Tahoma" w:cs="Tahoma"/>
      <w:sz w:val="16"/>
      <w:szCs w:val="16"/>
    </w:rPr>
  </w:style>
  <w:style w:type="character" w:styleId="CommentReference">
    <w:name w:val="annotation reference"/>
    <w:basedOn w:val="DefaultParagraphFont"/>
    <w:uiPriority w:val="99"/>
    <w:semiHidden/>
    <w:unhideWhenUsed/>
    <w:rsid w:val="00B30767"/>
    <w:rPr>
      <w:sz w:val="16"/>
      <w:szCs w:val="16"/>
    </w:rPr>
  </w:style>
  <w:style w:type="paragraph" w:styleId="CommentText">
    <w:name w:val="annotation text"/>
    <w:basedOn w:val="Normal"/>
    <w:link w:val="CommentTextChar"/>
    <w:uiPriority w:val="99"/>
    <w:semiHidden/>
    <w:unhideWhenUsed/>
    <w:rsid w:val="00B30767"/>
    <w:pPr>
      <w:spacing w:line="240" w:lineRule="auto"/>
    </w:pPr>
    <w:rPr>
      <w:sz w:val="20"/>
      <w:szCs w:val="20"/>
    </w:rPr>
  </w:style>
  <w:style w:type="character" w:customStyle="1" w:styleId="CommentTextChar">
    <w:name w:val="Comment Text Char"/>
    <w:basedOn w:val="DefaultParagraphFont"/>
    <w:link w:val="CommentText"/>
    <w:uiPriority w:val="99"/>
    <w:semiHidden/>
    <w:rsid w:val="00B30767"/>
    <w:rPr>
      <w:sz w:val="20"/>
      <w:szCs w:val="20"/>
    </w:rPr>
  </w:style>
  <w:style w:type="paragraph" w:styleId="CommentSubject">
    <w:name w:val="annotation subject"/>
    <w:basedOn w:val="CommentText"/>
    <w:next w:val="CommentText"/>
    <w:link w:val="CommentSubjectChar"/>
    <w:uiPriority w:val="99"/>
    <w:semiHidden/>
    <w:unhideWhenUsed/>
    <w:rsid w:val="00B30767"/>
    <w:rPr>
      <w:b/>
      <w:bCs/>
    </w:rPr>
  </w:style>
  <w:style w:type="character" w:customStyle="1" w:styleId="CommentSubjectChar">
    <w:name w:val="Comment Subject Char"/>
    <w:basedOn w:val="CommentTextChar"/>
    <w:link w:val="CommentSubject"/>
    <w:uiPriority w:val="99"/>
    <w:semiHidden/>
    <w:rsid w:val="00B30767"/>
    <w:rPr>
      <w:b/>
      <w:bCs/>
    </w:rPr>
  </w:style>
  <w:style w:type="paragraph" w:styleId="BalloonText">
    <w:name w:val="Balloon Text"/>
    <w:basedOn w:val="Normal"/>
    <w:link w:val="BalloonTextChar"/>
    <w:uiPriority w:val="99"/>
    <w:semiHidden/>
    <w:unhideWhenUsed/>
    <w:rsid w:val="00B3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13788">
      <w:bodyDiv w:val="1"/>
      <w:marLeft w:val="0"/>
      <w:marRight w:val="0"/>
      <w:marTop w:val="0"/>
      <w:marBottom w:val="0"/>
      <w:divBdr>
        <w:top w:val="none" w:sz="0" w:space="0" w:color="auto"/>
        <w:left w:val="none" w:sz="0" w:space="0" w:color="auto"/>
        <w:bottom w:val="none" w:sz="0" w:space="0" w:color="auto"/>
        <w:right w:val="none" w:sz="0" w:space="0" w:color="auto"/>
      </w:divBdr>
    </w:div>
    <w:div w:id="216473711">
      <w:bodyDiv w:val="1"/>
      <w:marLeft w:val="0"/>
      <w:marRight w:val="0"/>
      <w:marTop w:val="0"/>
      <w:marBottom w:val="0"/>
      <w:divBdr>
        <w:top w:val="none" w:sz="0" w:space="0" w:color="auto"/>
        <w:left w:val="none" w:sz="0" w:space="0" w:color="auto"/>
        <w:bottom w:val="none" w:sz="0" w:space="0" w:color="auto"/>
        <w:right w:val="none" w:sz="0" w:space="0" w:color="auto"/>
      </w:divBdr>
    </w:div>
    <w:div w:id="347566143">
      <w:bodyDiv w:val="1"/>
      <w:marLeft w:val="0"/>
      <w:marRight w:val="0"/>
      <w:marTop w:val="0"/>
      <w:marBottom w:val="0"/>
      <w:divBdr>
        <w:top w:val="none" w:sz="0" w:space="0" w:color="auto"/>
        <w:left w:val="none" w:sz="0" w:space="0" w:color="auto"/>
        <w:bottom w:val="none" w:sz="0" w:space="0" w:color="auto"/>
        <w:right w:val="none" w:sz="0" w:space="0" w:color="auto"/>
      </w:divBdr>
    </w:div>
    <w:div w:id="377125400">
      <w:bodyDiv w:val="1"/>
      <w:marLeft w:val="0"/>
      <w:marRight w:val="0"/>
      <w:marTop w:val="0"/>
      <w:marBottom w:val="0"/>
      <w:divBdr>
        <w:top w:val="none" w:sz="0" w:space="0" w:color="auto"/>
        <w:left w:val="none" w:sz="0" w:space="0" w:color="auto"/>
        <w:bottom w:val="none" w:sz="0" w:space="0" w:color="auto"/>
        <w:right w:val="none" w:sz="0" w:space="0" w:color="auto"/>
      </w:divBdr>
    </w:div>
    <w:div w:id="445730968">
      <w:bodyDiv w:val="1"/>
      <w:marLeft w:val="0"/>
      <w:marRight w:val="0"/>
      <w:marTop w:val="0"/>
      <w:marBottom w:val="0"/>
      <w:divBdr>
        <w:top w:val="none" w:sz="0" w:space="0" w:color="auto"/>
        <w:left w:val="none" w:sz="0" w:space="0" w:color="auto"/>
        <w:bottom w:val="none" w:sz="0" w:space="0" w:color="auto"/>
        <w:right w:val="none" w:sz="0" w:space="0" w:color="auto"/>
      </w:divBdr>
    </w:div>
    <w:div w:id="500435513">
      <w:bodyDiv w:val="1"/>
      <w:marLeft w:val="0"/>
      <w:marRight w:val="0"/>
      <w:marTop w:val="0"/>
      <w:marBottom w:val="0"/>
      <w:divBdr>
        <w:top w:val="none" w:sz="0" w:space="0" w:color="auto"/>
        <w:left w:val="none" w:sz="0" w:space="0" w:color="auto"/>
        <w:bottom w:val="none" w:sz="0" w:space="0" w:color="auto"/>
        <w:right w:val="none" w:sz="0" w:space="0" w:color="auto"/>
      </w:divBdr>
    </w:div>
    <w:div w:id="559363003">
      <w:bodyDiv w:val="1"/>
      <w:marLeft w:val="0"/>
      <w:marRight w:val="0"/>
      <w:marTop w:val="0"/>
      <w:marBottom w:val="0"/>
      <w:divBdr>
        <w:top w:val="none" w:sz="0" w:space="0" w:color="auto"/>
        <w:left w:val="none" w:sz="0" w:space="0" w:color="auto"/>
        <w:bottom w:val="none" w:sz="0" w:space="0" w:color="auto"/>
        <w:right w:val="none" w:sz="0" w:space="0" w:color="auto"/>
      </w:divBdr>
    </w:div>
    <w:div w:id="565528535">
      <w:bodyDiv w:val="1"/>
      <w:marLeft w:val="0"/>
      <w:marRight w:val="0"/>
      <w:marTop w:val="0"/>
      <w:marBottom w:val="0"/>
      <w:divBdr>
        <w:top w:val="none" w:sz="0" w:space="0" w:color="auto"/>
        <w:left w:val="none" w:sz="0" w:space="0" w:color="auto"/>
        <w:bottom w:val="none" w:sz="0" w:space="0" w:color="auto"/>
        <w:right w:val="none" w:sz="0" w:space="0" w:color="auto"/>
      </w:divBdr>
    </w:div>
    <w:div w:id="799150318">
      <w:bodyDiv w:val="1"/>
      <w:marLeft w:val="0"/>
      <w:marRight w:val="0"/>
      <w:marTop w:val="0"/>
      <w:marBottom w:val="0"/>
      <w:divBdr>
        <w:top w:val="none" w:sz="0" w:space="0" w:color="auto"/>
        <w:left w:val="none" w:sz="0" w:space="0" w:color="auto"/>
        <w:bottom w:val="none" w:sz="0" w:space="0" w:color="auto"/>
        <w:right w:val="none" w:sz="0" w:space="0" w:color="auto"/>
      </w:divBdr>
    </w:div>
    <w:div w:id="866673944">
      <w:bodyDiv w:val="1"/>
      <w:marLeft w:val="0"/>
      <w:marRight w:val="0"/>
      <w:marTop w:val="0"/>
      <w:marBottom w:val="0"/>
      <w:divBdr>
        <w:top w:val="none" w:sz="0" w:space="0" w:color="auto"/>
        <w:left w:val="none" w:sz="0" w:space="0" w:color="auto"/>
        <w:bottom w:val="none" w:sz="0" w:space="0" w:color="auto"/>
        <w:right w:val="none" w:sz="0" w:space="0" w:color="auto"/>
      </w:divBdr>
    </w:div>
    <w:div w:id="986393960">
      <w:bodyDiv w:val="1"/>
      <w:marLeft w:val="0"/>
      <w:marRight w:val="0"/>
      <w:marTop w:val="0"/>
      <w:marBottom w:val="0"/>
      <w:divBdr>
        <w:top w:val="none" w:sz="0" w:space="0" w:color="auto"/>
        <w:left w:val="none" w:sz="0" w:space="0" w:color="auto"/>
        <w:bottom w:val="none" w:sz="0" w:space="0" w:color="auto"/>
        <w:right w:val="none" w:sz="0" w:space="0" w:color="auto"/>
      </w:divBdr>
    </w:div>
    <w:div w:id="1035545117">
      <w:bodyDiv w:val="1"/>
      <w:marLeft w:val="0"/>
      <w:marRight w:val="0"/>
      <w:marTop w:val="0"/>
      <w:marBottom w:val="0"/>
      <w:divBdr>
        <w:top w:val="none" w:sz="0" w:space="0" w:color="auto"/>
        <w:left w:val="none" w:sz="0" w:space="0" w:color="auto"/>
        <w:bottom w:val="none" w:sz="0" w:space="0" w:color="auto"/>
        <w:right w:val="none" w:sz="0" w:space="0" w:color="auto"/>
      </w:divBdr>
    </w:div>
    <w:div w:id="1062564459">
      <w:bodyDiv w:val="1"/>
      <w:marLeft w:val="0"/>
      <w:marRight w:val="0"/>
      <w:marTop w:val="0"/>
      <w:marBottom w:val="0"/>
      <w:divBdr>
        <w:top w:val="none" w:sz="0" w:space="0" w:color="auto"/>
        <w:left w:val="none" w:sz="0" w:space="0" w:color="auto"/>
        <w:bottom w:val="none" w:sz="0" w:space="0" w:color="auto"/>
        <w:right w:val="none" w:sz="0" w:space="0" w:color="auto"/>
      </w:divBdr>
    </w:div>
    <w:div w:id="1106654048">
      <w:bodyDiv w:val="1"/>
      <w:marLeft w:val="0"/>
      <w:marRight w:val="0"/>
      <w:marTop w:val="0"/>
      <w:marBottom w:val="0"/>
      <w:divBdr>
        <w:top w:val="none" w:sz="0" w:space="0" w:color="auto"/>
        <w:left w:val="none" w:sz="0" w:space="0" w:color="auto"/>
        <w:bottom w:val="none" w:sz="0" w:space="0" w:color="auto"/>
        <w:right w:val="none" w:sz="0" w:space="0" w:color="auto"/>
      </w:divBdr>
    </w:div>
    <w:div w:id="1143695944">
      <w:bodyDiv w:val="1"/>
      <w:marLeft w:val="0"/>
      <w:marRight w:val="0"/>
      <w:marTop w:val="0"/>
      <w:marBottom w:val="0"/>
      <w:divBdr>
        <w:top w:val="none" w:sz="0" w:space="0" w:color="auto"/>
        <w:left w:val="none" w:sz="0" w:space="0" w:color="auto"/>
        <w:bottom w:val="none" w:sz="0" w:space="0" w:color="auto"/>
        <w:right w:val="none" w:sz="0" w:space="0" w:color="auto"/>
      </w:divBdr>
    </w:div>
    <w:div w:id="1190535211">
      <w:bodyDiv w:val="1"/>
      <w:marLeft w:val="0"/>
      <w:marRight w:val="0"/>
      <w:marTop w:val="0"/>
      <w:marBottom w:val="0"/>
      <w:divBdr>
        <w:top w:val="none" w:sz="0" w:space="0" w:color="auto"/>
        <w:left w:val="none" w:sz="0" w:space="0" w:color="auto"/>
        <w:bottom w:val="none" w:sz="0" w:space="0" w:color="auto"/>
        <w:right w:val="none" w:sz="0" w:space="0" w:color="auto"/>
      </w:divBdr>
    </w:div>
    <w:div w:id="1191451075">
      <w:bodyDiv w:val="1"/>
      <w:marLeft w:val="0"/>
      <w:marRight w:val="0"/>
      <w:marTop w:val="0"/>
      <w:marBottom w:val="0"/>
      <w:divBdr>
        <w:top w:val="none" w:sz="0" w:space="0" w:color="auto"/>
        <w:left w:val="none" w:sz="0" w:space="0" w:color="auto"/>
        <w:bottom w:val="none" w:sz="0" w:space="0" w:color="auto"/>
        <w:right w:val="none" w:sz="0" w:space="0" w:color="auto"/>
      </w:divBdr>
    </w:div>
    <w:div w:id="1290091795">
      <w:bodyDiv w:val="1"/>
      <w:marLeft w:val="0"/>
      <w:marRight w:val="0"/>
      <w:marTop w:val="0"/>
      <w:marBottom w:val="0"/>
      <w:divBdr>
        <w:top w:val="none" w:sz="0" w:space="0" w:color="auto"/>
        <w:left w:val="none" w:sz="0" w:space="0" w:color="auto"/>
        <w:bottom w:val="none" w:sz="0" w:space="0" w:color="auto"/>
        <w:right w:val="none" w:sz="0" w:space="0" w:color="auto"/>
      </w:divBdr>
    </w:div>
    <w:div w:id="1369062277">
      <w:bodyDiv w:val="1"/>
      <w:marLeft w:val="0"/>
      <w:marRight w:val="0"/>
      <w:marTop w:val="0"/>
      <w:marBottom w:val="0"/>
      <w:divBdr>
        <w:top w:val="none" w:sz="0" w:space="0" w:color="auto"/>
        <w:left w:val="none" w:sz="0" w:space="0" w:color="auto"/>
        <w:bottom w:val="none" w:sz="0" w:space="0" w:color="auto"/>
        <w:right w:val="none" w:sz="0" w:space="0" w:color="auto"/>
      </w:divBdr>
    </w:div>
    <w:div w:id="1424035961">
      <w:bodyDiv w:val="1"/>
      <w:marLeft w:val="0"/>
      <w:marRight w:val="0"/>
      <w:marTop w:val="0"/>
      <w:marBottom w:val="0"/>
      <w:divBdr>
        <w:top w:val="none" w:sz="0" w:space="0" w:color="auto"/>
        <w:left w:val="none" w:sz="0" w:space="0" w:color="auto"/>
        <w:bottom w:val="none" w:sz="0" w:space="0" w:color="auto"/>
        <w:right w:val="none" w:sz="0" w:space="0" w:color="auto"/>
      </w:divBdr>
    </w:div>
    <w:div w:id="1601790727">
      <w:bodyDiv w:val="1"/>
      <w:marLeft w:val="0"/>
      <w:marRight w:val="0"/>
      <w:marTop w:val="0"/>
      <w:marBottom w:val="0"/>
      <w:divBdr>
        <w:top w:val="none" w:sz="0" w:space="0" w:color="auto"/>
        <w:left w:val="none" w:sz="0" w:space="0" w:color="auto"/>
        <w:bottom w:val="none" w:sz="0" w:space="0" w:color="auto"/>
        <w:right w:val="none" w:sz="0" w:space="0" w:color="auto"/>
      </w:divBdr>
    </w:div>
    <w:div w:id="1777477742">
      <w:bodyDiv w:val="1"/>
      <w:marLeft w:val="0"/>
      <w:marRight w:val="0"/>
      <w:marTop w:val="0"/>
      <w:marBottom w:val="0"/>
      <w:divBdr>
        <w:top w:val="none" w:sz="0" w:space="0" w:color="auto"/>
        <w:left w:val="none" w:sz="0" w:space="0" w:color="auto"/>
        <w:bottom w:val="none" w:sz="0" w:space="0" w:color="auto"/>
        <w:right w:val="none" w:sz="0" w:space="0" w:color="auto"/>
      </w:divBdr>
    </w:div>
    <w:div w:id="1839691978">
      <w:bodyDiv w:val="1"/>
      <w:marLeft w:val="0"/>
      <w:marRight w:val="0"/>
      <w:marTop w:val="0"/>
      <w:marBottom w:val="0"/>
      <w:divBdr>
        <w:top w:val="none" w:sz="0" w:space="0" w:color="auto"/>
        <w:left w:val="none" w:sz="0" w:space="0" w:color="auto"/>
        <w:bottom w:val="none" w:sz="0" w:space="0" w:color="auto"/>
        <w:right w:val="none" w:sz="0" w:space="0" w:color="auto"/>
      </w:divBdr>
    </w:div>
    <w:div w:id="1862620171">
      <w:bodyDiv w:val="1"/>
      <w:marLeft w:val="0"/>
      <w:marRight w:val="0"/>
      <w:marTop w:val="0"/>
      <w:marBottom w:val="0"/>
      <w:divBdr>
        <w:top w:val="none" w:sz="0" w:space="0" w:color="auto"/>
        <w:left w:val="none" w:sz="0" w:space="0" w:color="auto"/>
        <w:bottom w:val="none" w:sz="0" w:space="0" w:color="auto"/>
        <w:right w:val="none" w:sz="0" w:space="0" w:color="auto"/>
      </w:divBdr>
    </w:div>
    <w:div w:id="1882017218">
      <w:bodyDiv w:val="1"/>
      <w:marLeft w:val="0"/>
      <w:marRight w:val="0"/>
      <w:marTop w:val="0"/>
      <w:marBottom w:val="0"/>
      <w:divBdr>
        <w:top w:val="none" w:sz="0" w:space="0" w:color="auto"/>
        <w:left w:val="none" w:sz="0" w:space="0" w:color="auto"/>
        <w:bottom w:val="none" w:sz="0" w:space="0" w:color="auto"/>
        <w:right w:val="none" w:sz="0" w:space="0" w:color="auto"/>
      </w:divBdr>
    </w:div>
    <w:div w:id="1886746466">
      <w:bodyDiv w:val="1"/>
      <w:marLeft w:val="0"/>
      <w:marRight w:val="0"/>
      <w:marTop w:val="0"/>
      <w:marBottom w:val="0"/>
      <w:divBdr>
        <w:top w:val="none" w:sz="0" w:space="0" w:color="auto"/>
        <w:left w:val="none" w:sz="0" w:space="0" w:color="auto"/>
        <w:bottom w:val="none" w:sz="0" w:space="0" w:color="auto"/>
        <w:right w:val="none" w:sz="0" w:space="0" w:color="auto"/>
      </w:divBdr>
    </w:div>
    <w:div w:id="1895963820">
      <w:bodyDiv w:val="1"/>
      <w:marLeft w:val="0"/>
      <w:marRight w:val="0"/>
      <w:marTop w:val="0"/>
      <w:marBottom w:val="0"/>
      <w:divBdr>
        <w:top w:val="none" w:sz="0" w:space="0" w:color="auto"/>
        <w:left w:val="none" w:sz="0" w:space="0" w:color="auto"/>
        <w:bottom w:val="none" w:sz="0" w:space="0" w:color="auto"/>
        <w:right w:val="none" w:sz="0" w:space="0" w:color="auto"/>
      </w:divBdr>
    </w:div>
    <w:div w:id="1935743810">
      <w:bodyDiv w:val="1"/>
      <w:marLeft w:val="0"/>
      <w:marRight w:val="0"/>
      <w:marTop w:val="0"/>
      <w:marBottom w:val="0"/>
      <w:divBdr>
        <w:top w:val="none" w:sz="0" w:space="0" w:color="auto"/>
        <w:left w:val="none" w:sz="0" w:space="0" w:color="auto"/>
        <w:bottom w:val="none" w:sz="0" w:space="0" w:color="auto"/>
        <w:right w:val="none" w:sz="0" w:space="0" w:color="auto"/>
      </w:divBdr>
    </w:div>
    <w:div w:id="1997873358">
      <w:bodyDiv w:val="1"/>
      <w:marLeft w:val="0"/>
      <w:marRight w:val="0"/>
      <w:marTop w:val="0"/>
      <w:marBottom w:val="0"/>
      <w:divBdr>
        <w:top w:val="none" w:sz="0" w:space="0" w:color="auto"/>
        <w:left w:val="none" w:sz="0" w:space="0" w:color="auto"/>
        <w:bottom w:val="none" w:sz="0" w:space="0" w:color="auto"/>
        <w:right w:val="none" w:sz="0" w:space="0" w:color="auto"/>
      </w:divBdr>
    </w:div>
    <w:div w:id="20511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com.ph/Manual%20on%20Corporate%20Governance.pdf" TargetMode="External"/><Relationship Id="rId13" Type="http://schemas.openxmlformats.org/officeDocument/2006/relationships/hyperlink" Target="http://www.maa.com.ph/By-Laws.pdf" TargetMode="External"/><Relationship Id="rId18" Type="http://schemas.openxmlformats.org/officeDocument/2006/relationships/hyperlink" Target="http://www.maa.com.ph/AGM%20dated%20April%2027,%202015.pdf" TargetMode="External"/><Relationship Id="rId26" Type="http://schemas.openxmlformats.org/officeDocument/2006/relationships/hyperlink" Target="http://www.maa.com.ph/010603-share.php" TargetMode="External"/><Relationship Id="rId3" Type="http://schemas.openxmlformats.org/officeDocument/2006/relationships/settings" Target="settings.xml"/><Relationship Id="rId21" Type="http://schemas.openxmlformats.org/officeDocument/2006/relationships/hyperlink" Target="http://www.maa.com.ph/AGM%20dated%20April%2027,%202015.pdf" TargetMode="External"/><Relationship Id="rId7" Type="http://schemas.openxmlformats.org/officeDocument/2006/relationships/header" Target="header1.xml"/><Relationship Id="rId12" Type="http://schemas.openxmlformats.org/officeDocument/2006/relationships/hyperlink" Target="http://www.gov.ph/1980/05/01/batas-pambansa-bilang-68/" TargetMode="External"/><Relationship Id="rId17" Type="http://schemas.openxmlformats.org/officeDocument/2006/relationships/hyperlink" Target="http://www.maa.com.ph/AGM%20dated%20April%2027,%202015.pdf" TargetMode="External"/><Relationship Id="rId25" Type="http://schemas.openxmlformats.org/officeDocument/2006/relationships/hyperlink" Target="http://www.maa.com.ph/By-Laws.pdf" TargetMode="External"/><Relationship Id="rId2" Type="http://schemas.openxmlformats.org/officeDocument/2006/relationships/styles" Target="styles.xml"/><Relationship Id="rId16" Type="http://schemas.openxmlformats.org/officeDocument/2006/relationships/hyperlink" Target="http://www.maa.com.ph/AGM%20dated%20April%2027,%202015.pdf" TargetMode="External"/><Relationship Id="rId20" Type="http://schemas.openxmlformats.org/officeDocument/2006/relationships/hyperlink" Target="http://www.maa.com.ph/AGM%20dated%20April%2027,%202015.pdf" TargetMode="External"/><Relationship Id="rId29" Type="http://schemas.openxmlformats.org/officeDocument/2006/relationships/hyperlink" Target="http://www.maa.com.ph/AGM%20dated%20April%2027,%202015.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a.com.ph/Manual%20on%20Corporate%20Governance.pdf" TargetMode="External"/><Relationship Id="rId24" Type="http://schemas.openxmlformats.org/officeDocument/2006/relationships/hyperlink" Target="http://www.maa.com.ph/NOTICE%20OF%20AGM%202015.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a.com.ph/010603-share.php" TargetMode="External"/><Relationship Id="rId23" Type="http://schemas.openxmlformats.org/officeDocument/2006/relationships/hyperlink" Target="http://www.maa.com.ph/AGM%20dated%20April%2027,%202015.pdf" TargetMode="External"/><Relationship Id="rId28" Type="http://schemas.openxmlformats.org/officeDocument/2006/relationships/hyperlink" Target="http://www.maa.com.ph/AGM%20dated%20April%2027,%202015.pdf" TargetMode="External"/><Relationship Id="rId10" Type="http://schemas.openxmlformats.org/officeDocument/2006/relationships/hyperlink" Target="http://www.maa.com.ph/Manual%20on%20Corporate%20Governance.pdf" TargetMode="External"/><Relationship Id="rId19" Type="http://schemas.openxmlformats.org/officeDocument/2006/relationships/hyperlink" Target="http://www.maa.com.ph/AGM%20dated%20April%2027,%202015.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a.com.ph/Manual%20on%20Corporate%20Governance.pdf" TargetMode="External"/><Relationship Id="rId14" Type="http://schemas.openxmlformats.org/officeDocument/2006/relationships/hyperlink" Target="http://www.maa.com.ph/By-Laws.pdf" TargetMode="External"/><Relationship Id="rId22" Type="http://schemas.openxmlformats.org/officeDocument/2006/relationships/hyperlink" Target="http://www.maa.com.ph/AGM%20dated%20April%2027,%202015.pdf" TargetMode="External"/><Relationship Id="rId27" Type="http://schemas.openxmlformats.org/officeDocument/2006/relationships/hyperlink" Target="http://www.maa.com.ph/010603-share.php" TargetMode="External"/><Relationship Id="rId30" Type="http://schemas.openxmlformats.org/officeDocument/2006/relationships/hyperlink" Target="http://www.maa.com.ph/Manual%20on%20Corporate%20Gover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0F9D-B58F-48EE-B214-1C05F677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somar</dc:creator>
  <cp:lastModifiedBy>Roms</cp:lastModifiedBy>
  <cp:revision>4</cp:revision>
  <cp:lastPrinted>2015-05-21T08:42:00Z</cp:lastPrinted>
  <dcterms:created xsi:type="dcterms:W3CDTF">2015-06-15T08:04:00Z</dcterms:created>
  <dcterms:modified xsi:type="dcterms:W3CDTF">2015-06-15T08:04:00Z</dcterms:modified>
</cp:coreProperties>
</file>