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10" w:rsidRDefault="008C5310" w:rsidP="00BF20E3">
      <w:pPr>
        <w:pStyle w:val="NoSpacing"/>
        <w:rPr>
          <w:b/>
        </w:rPr>
      </w:pPr>
    </w:p>
    <w:p w:rsidR="007F6614" w:rsidRDefault="007F6614" w:rsidP="007F6614">
      <w:pPr>
        <w:outlineLvl w:val="0"/>
        <w:rPr>
          <w:b/>
          <w:sz w:val="20"/>
          <w:szCs w:val="20"/>
        </w:rPr>
      </w:pPr>
      <w:r w:rsidRPr="007202BF">
        <w:rPr>
          <w:b/>
          <w:sz w:val="20"/>
          <w:szCs w:val="20"/>
        </w:rPr>
        <w:t xml:space="preserve">PART </w:t>
      </w:r>
      <w:r>
        <w:rPr>
          <w:b/>
          <w:sz w:val="20"/>
          <w:szCs w:val="20"/>
        </w:rPr>
        <w:t>B</w:t>
      </w:r>
      <w:r w:rsidRPr="007202BF">
        <w:rPr>
          <w:b/>
          <w:sz w:val="20"/>
          <w:szCs w:val="20"/>
        </w:rPr>
        <w:t xml:space="preserve">: </w:t>
      </w:r>
      <w:hyperlink r:id="rId7" w:tgtFrame="_blank" w:history="1">
        <w:r w:rsidRPr="007F6614">
          <w:rPr>
            <w:rStyle w:val="Hyperlink"/>
            <w:b/>
            <w:color w:val="000000" w:themeColor="text1"/>
            <w:sz w:val="20"/>
            <w:szCs w:val="20"/>
            <w:u w:val="none"/>
            <w:shd w:val="clear" w:color="auto" w:fill="FFFFFF"/>
          </w:rPr>
          <w:t>EQUITABLE TREATMENT OF SHARE</w:t>
        </w:r>
      </w:hyperlink>
    </w:p>
    <w:tbl>
      <w:tblPr>
        <w:tblStyle w:val="TableGrid"/>
        <w:tblW w:w="15397" w:type="dxa"/>
        <w:tblInd w:w="108" w:type="dxa"/>
        <w:tblLayout w:type="fixed"/>
        <w:tblCellMar>
          <w:left w:w="115" w:type="dxa"/>
          <w:right w:w="115" w:type="dxa"/>
        </w:tblCellMar>
        <w:tblLook w:val="04A0"/>
      </w:tblPr>
      <w:tblGrid>
        <w:gridCol w:w="1087"/>
        <w:gridCol w:w="4770"/>
        <w:gridCol w:w="4050"/>
        <w:gridCol w:w="1170"/>
        <w:gridCol w:w="4320"/>
      </w:tblGrid>
      <w:tr w:rsidR="009276C6" w:rsidTr="00E12229">
        <w:tc>
          <w:tcPr>
            <w:tcW w:w="1087" w:type="dxa"/>
            <w:shd w:val="clear" w:color="auto" w:fill="FFC000"/>
          </w:tcPr>
          <w:p w:rsidR="009276C6" w:rsidRDefault="009276C6" w:rsidP="002E0404">
            <w:pPr>
              <w:jc w:val="center"/>
              <w:rPr>
                <w:b/>
                <w:sz w:val="20"/>
                <w:szCs w:val="20"/>
              </w:rPr>
            </w:pPr>
            <w:r>
              <w:rPr>
                <w:b/>
                <w:sz w:val="20"/>
                <w:szCs w:val="20"/>
              </w:rPr>
              <w:t>ITEM No.</w:t>
            </w:r>
          </w:p>
        </w:tc>
        <w:tc>
          <w:tcPr>
            <w:tcW w:w="4770" w:type="dxa"/>
            <w:shd w:val="clear" w:color="auto" w:fill="FFC000"/>
          </w:tcPr>
          <w:p w:rsidR="009276C6" w:rsidRDefault="00EC7354" w:rsidP="002E0404">
            <w:pPr>
              <w:jc w:val="center"/>
              <w:rPr>
                <w:b/>
                <w:sz w:val="20"/>
                <w:szCs w:val="20"/>
              </w:rPr>
            </w:pPr>
            <w:r>
              <w:rPr>
                <w:b/>
                <w:sz w:val="20"/>
                <w:szCs w:val="20"/>
              </w:rPr>
              <w:t>EQUITABLE TREATMENT OF SH</w:t>
            </w:r>
            <w:r w:rsidR="000814AA">
              <w:rPr>
                <w:b/>
                <w:sz w:val="20"/>
                <w:szCs w:val="20"/>
              </w:rPr>
              <w:t>A</w:t>
            </w:r>
            <w:r>
              <w:rPr>
                <w:b/>
                <w:sz w:val="20"/>
                <w:szCs w:val="20"/>
              </w:rPr>
              <w:t>REHOLDERS</w:t>
            </w:r>
          </w:p>
        </w:tc>
        <w:tc>
          <w:tcPr>
            <w:tcW w:w="4050" w:type="dxa"/>
            <w:shd w:val="clear" w:color="auto" w:fill="FFC000"/>
          </w:tcPr>
          <w:p w:rsidR="009276C6" w:rsidRDefault="009276C6" w:rsidP="002E0404">
            <w:pPr>
              <w:jc w:val="center"/>
              <w:rPr>
                <w:b/>
                <w:sz w:val="20"/>
                <w:szCs w:val="20"/>
              </w:rPr>
            </w:pPr>
            <w:r>
              <w:rPr>
                <w:b/>
                <w:sz w:val="20"/>
                <w:szCs w:val="20"/>
              </w:rPr>
              <w:t>APPLICABLE PRINCIPLE</w:t>
            </w:r>
          </w:p>
        </w:tc>
        <w:tc>
          <w:tcPr>
            <w:tcW w:w="1170" w:type="dxa"/>
            <w:shd w:val="clear" w:color="auto" w:fill="FFC000"/>
          </w:tcPr>
          <w:p w:rsidR="009276C6" w:rsidRDefault="009276C6" w:rsidP="002E0404">
            <w:pPr>
              <w:jc w:val="center"/>
              <w:rPr>
                <w:b/>
                <w:sz w:val="20"/>
                <w:szCs w:val="20"/>
              </w:rPr>
            </w:pPr>
            <w:r>
              <w:rPr>
                <w:b/>
                <w:sz w:val="20"/>
                <w:szCs w:val="20"/>
              </w:rPr>
              <w:t>RESPONSE</w:t>
            </w:r>
          </w:p>
        </w:tc>
        <w:tc>
          <w:tcPr>
            <w:tcW w:w="4320" w:type="dxa"/>
            <w:shd w:val="clear" w:color="auto" w:fill="FFC000"/>
          </w:tcPr>
          <w:p w:rsidR="009276C6" w:rsidRDefault="009276C6" w:rsidP="002E0404">
            <w:pPr>
              <w:jc w:val="center"/>
              <w:rPr>
                <w:b/>
                <w:sz w:val="20"/>
                <w:szCs w:val="20"/>
              </w:rPr>
            </w:pPr>
            <w:r>
              <w:rPr>
                <w:b/>
                <w:sz w:val="20"/>
                <w:szCs w:val="20"/>
              </w:rPr>
              <w:t>REFERENCE/SOURCE DOCUMENT</w:t>
            </w:r>
          </w:p>
        </w:tc>
      </w:tr>
      <w:tr w:rsidR="009276C6" w:rsidTr="00E12229">
        <w:tc>
          <w:tcPr>
            <w:tcW w:w="15397" w:type="dxa"/>
            <w:gridSpan w:val="5"/>
            <w:shd w:val="clear" w:color="auto" w:fill="FFCC99"/>
          </w:tcPr>
          <w:p w:rsidR="009276C6" w:rsidRDefault="00EC7354" w:rsidP="00EC7354">
            <w:pPr>
              <w:rPr>
                <w:b/>
                <w:sz w:val="20"/>
                <w:szCs w:val="20"/>
              </w:rPr>
            </w:pPr>
            <w:r>
              <w:rPr>
                <w:b/>
                <w:sz w:val="20"/>
                <w:szCs w:val="20"/>
              </w:rPr>
              <w:t>B</w:t>
            </w:r>
            <w:r w:rsidR="009276C6">
              <w:rPr>
                <w:b/>
                <w:sz w:val="20"/>
                <w:szCs w:val="20"/>
              </w:rPr>
              <w:t xml:space="preserve">.1 </w:t>
            </w:r>
            <w:r>
              <w:rPr>
                <w:b/>
                <w:sz w:val="20"/>
                <w:szCs w:val="20"/>
              </w:rPr>
              <w:t>Shares and Voting Rights</w:t>
            </w:r>
          </w:p>
        </w:tc>
      </w:tr>
      <w:tr w:rsidR="00EC7354" w:rsidTr="00E12229">
        <w:tc>
          <w:tcPr>
            <w:tcW w:w="1087" w:type="dxa"/>
          </w:tcPr>
          <w:p w:rsidR="00EC7354" w:rsidRDefault="00EC7354">
            <w:pPr>
              <w:rPr>
                <w:rFonts w:ascii="Calibri" w:hAnsi="Calibri"/>
                <w:sz w:val="20"/>
                <w:szCs w:val="20"/>
              </w:rPr>
            </w:pPr>
            <w:r>
              <w:rPr>
                <w:rFonts w:ascii="Calibri" w:hAnsi="Calibri"/>
                <w:sz w:val="20"/>
                <w:szCs w:val="20"/>
              </w:rPr>
              <w:t>B.1.1</w:t>
            </w:r>
          </w:p>
        </w:tc>
        <w:tc>
          <w:tcPr>
            <w:tcW w:w="4770" w:type="dxa"/>
          </w:tcPr>
          <w:p w:rsidR="00EC7354" w:rsidRDefault="00EC7354">
            <w:pPr>
              <w:rPr>
                <w:rFonts w:ascii="Calibri" w:hAnsi="Calibri"/>
                <w:sz w:val="20"/>
                <w:szCs w:val="20"/>
              </w:rPr>
            </w:pPr>
            <w:r>
              <w:rPr>
                <w:rFonts w:ascii="Calibri" w:hAnsi="Calibri"/>
                <w:sz w:val="20"/>
                <w:szCs w:val="20"/>
              </w:rPr>
              <w:t>Do the company's ordinary or common shares have one vote for one share?</w:t>
            </w:r>
          </w:p>
        </w:tc>
        <w:tc>
          <w:tcPr>
            <w:tcW w:w="4050" w:type="dxa"/>
            <w:vMerge w:val="restart"/>
          </w:tcPr>
          <w:p w:rsidR="00EC7354" w:rsidRDefault="00EC7354">
            <w:pPr>
              <w:rPr>
                <w:rFonts w:ascii="Calibri" w:hAnsi="Calibri"/>
                <w:sz w:val="20"/>
                <w:szCs w:val="20"/>
              </w:rPr>
            </w:pPr>
            <w:r>
              <w:rPr>
                <w:rFonts w:ascii="Calibri" w:hAnsi="Calibri"/>
                <w:b/>
                <w:bCs/>
                <w:sz w:val="20"/>
                <w:szCs w:val="20"/>
              </w:rPr>
              <w:t xml:space="preserve">OECD Principle III </w:t>
            </w:r>
            <w:r>
              <w:rPr>
                <w:rFonts w:ascii="Calibri" w:hAnsi="Calibri"/>
                <w:b/>
                <w:bCs/>
                <w:sz w:val="20"/>
                <w:szCs w:val="20"/>
              </w:rPr>
              <w:br/>
              <w:t>(A) All shareholders of the same series of a class should be treated equally.</w:t>
            </w:r>
            <w:r>
              <w:rPr>
                <w:rFonts w:ascii="Calibri" w:hAnsi="Calibri"/>
                <w:sz w:val="20"/>
                <w:szCs w:val="20"/>
              </w:rPr>
              <w:br/>
              <w:t>(1) Within any series of a class, all shares should carry the same rights. All investors should be able to obtain information about the rights attached to all series and classes of shares before they purchase. Any changes in voting rights should be subject to approval by those classes of shares which are negatively affected.</w:t>
            </w:r>
            <w:r>
              <w:rPr>
                <w:rFonts w:ascii="Calibri" w:hAnsi="Calibri"/>
                <w:sz w:val="20"/>
                <w:szCs w:val="20"/>
              </w:rPr>
              <w:br/>
            </w:r>
            <w:r>
              <w:rPr>
                <w:rFonts w:ascii="Calibri" w:hAnsi="Calibri"/>
                <w:sz w:val="20"/>
                <w:szCs w:val="20"/>
              </w:rPr>
              <w:br/>
            </w:r>
            <w:r>
              <w:rPr>
                <w:rFonts w:ascii="Calibri" w:hAnsi="Calibri"/>
                <w:b/>
                <w:bCs/>
                <w:sz w:val="20"/>
                <w:szCs w:val="20"/>
              </w:rPr>
              <w:t>ICGN 8.3.1 Unequal voting rights</w:t>
            </w:r>
            <w:r>
              <w:rPr>
                <w:rFonts w:ascii="Calibri" w:hAnsi="Calibri"/>
                <w:b/>
                <w:bCs/>
                <w:sz w:val="20"/>
                <w:szCs w:val="20"/>
              </w:rPr>
              <w:br/>
            </w:r>
            <w:r>
              <w:rPr>
                <w:rFonts w:ascii="Calibri" w:hAnsi="Calibri"/>
                <w:sz w:val="20"/>
                <w:szCs w:val="20"/>
              </w:rPr>
              <w:t xml:space="preserve">Companies ordinary or common shares should feature one vote for one share. Divergence from a 'one-share, one-vote' standard which gives certain shareholders power which is disproportionate to their equity ownership should be both disclosed and justified. </w:t>
            </w:r>
          </w:p>
        </w:tc>
        <w:tc>
          <w:tcPr>
            <w:tcW w:w="1170" w:type="dxa"/>
            <w:vAlign w:val="center"/>
          </w:tcPr>
          <w:p w:rsidR="00EC7354" w:rsidRDefault="00EC7354">
            <w:pPr>
              <w:jc w:val="center"/>
              <w:rPr>
                <w:rFonts w:ascii="Calibri" w:hAnsi="Calibri"/>
                <w:sz w:val="20"/>
                <w:szCs w:val="20"/>
              </w:rPr>
            </w:pPr>
            <w:r>
              <w:rPr>
                <w:rFonts w:ascii="Calibri" w:hAnsi="Calibri"/>
                <w:sz w:val="20"/>
                <w:szCs w:val="20"/>
              </w:rPr>
              <w:t>Y</w:t>
            </w:r>
          </w:p>
        </w:tc>
        <w:tc>
          <w:tcPr>
            <w:tcW w:w="4320" w:type="dxa"/>
          </w:tcPr>
          <w:p w:rsidR="00EC7354" w:rsidRDefault="00E12229" w:rsidP="00E12229">
            <w:pPr>
              <w:rPr>
                <w:b/>
                <w:sz w:val="20"/>
                <w:szCs w:val="20"/>
              </w:rPr>
            </w:pPr>
            <w:r>
              <w:rPr>
                <w:b/>
                <w:sz w:val="20"/>
                <w:szCs w:val="20"/>
              </w:rPr>
              <w:t>T</w:t>
            </w:r>
            <w:r w:rsidR="00E02B67">
              <w:rPr>
                <w:b/>
                <w:sz w:val="20"/>
                <w:szCs w:val="20"/>
              </w:rPr>
              <w:t xml:space="preserve">he </w:t>
            </w:r>
            <w:hyperlink r:id="rId8" w:history="1">
              <w:r w:rsidR="00E02B67" w:rsidRPr="004F10CB">
                <w:rPr>
                  <w:rStyle w:val="Hyperlink"/>
                  <w:b/>
                  <w:sz w:val="20"/>
                  <w:szCs w:val="20"/>
                </w:rPr>
                <w:t>Art. 7 (b) of the Manual on Corporate Governance</w:t>
              </w:r>
            </w:hyperlink>
            <w:r w:rsidR="00E02B67">
              <w:rPr>
                <w:b/>
                <w:sz w:val="20"/>
                <w:szCs w:val="20"/>
              </w:rPr>
              <w:t xml:space="preserve"> of the company </w:t>
            </w:r>
            <w:r>
              <w:rPr>
                <w:b/>
                <w:sz w:val="20"/>
                <w:szCs w:val="20"/>
              </w:rPr>
              <w:t xml:space="preserve">provides </w:t>
            </w:r>
            <w:r w:rsidR="00E02B67">
              <w:rPr>
                <w:b/>
                <w:sz w:val="20"/>
                <w:szCs w:val="20"/>
              </w:rPr>
              <w:t>that</w:t>
            </w:r>
            <w:r>
              <w:rPr>
                <w:b/>
                <w:sz w:val="20"/>
                <w:szCs w:val="20"/>
              </w:rPr>
              <w:t xml:space="preserve"> a</w:t>
            </w:r>
            <w:r w:rsidR="00491C16">
              <w:rPr>
                <w:b/>
                <w:sz w:val="20"/>
                <w:szCs w:val="20"/>
              </w:rPr>
              <w:t xml:space="preserve"> minimum</w:t>
            </w:r>
            <w:r>
              <w:rPr>
                <w:b/>
                <w:sz w:val="20"/>
                <w:szCs w:val="20"/>
              </w:rPr>
              <w:t xml:space="preserve"> of one (1) share is all that is required to be entitled to the voting right.</w:t>
            </w:r>
          </w:p>
          <w:p w:rsidR="00E12229" w:rsidRDefault="00E12229" w:rsidP="004F10CB">
            <w:pPr>
              <w:rPr>
                <w:b/>
                <w:sz w:val="20"/>
                <w:szCs w:val="20"/>
              </w:rPr>
            </w:pPr>
          </w:p>
        </w:tc>
      </w:tr>
      <w:tr w:rsidR="00EC7354" w:rsidTr="004F10CB">
        <w:tc>
          <w:tcPr>
            <w:tcW w:w="1087" w:type="dxa"/>
          </w:tcPr>
          <w:p w:rsidR="00EC7354" w:rsidRDefault="00EC7354">
            <w:pPr>
              <w:rPr>
                <w:rFonts w:ascii="Calibri" w:hAnsi="Calibri"/>
                <w:sz w:val="20"/>
                <w:szCs w:val="20"/>
              </w:rPr>
            </w:pPr>
            <w:r>
              <w:rPr>
                <w:rFonts w:ascii="Calibri" w:hAnsi="Calibri"/>
                <w:sz w:val="20"/>
                <w:szCs w:val="20"/>
              </w:rPr>
              <w:t>B.1.2</w:t>
            </w:r>
          </w:p>
        </w:tc>
        <w:tc>
          <w:tcPr>
            <w:tcW w:w="4770" w:type="dxa"/>
          </w:tcPr>
          <w:p w:rsidR="00EC7354" w:rsidRDefault="00EC7354">
            <w:pPr>
              <w:rPr>
                <w:rFonts w:ascii="Calibri" w:hAnsi="Calibri"/>
                <w:sz w:val="20"/>
                <w:szCs w:val="20"/>
              </w:rPr>
            </w:pPr>
            <w:r w:rsidRPr="004F10CB">
              <w:rPr>
                <w:rFonts w:ascii="Calibri" w:hAnsi="Calibri"/>
                <w:sz w:val="20"/>
                <w:szCs w:val="20"/>
              </w:rPr>
              <w:t>Where the company has more than one class of shares, does the company publicise the voting rights attached to each class of shares (e.g. through the company website / reports/ the stock exchange/ the regulator's website)?</w:t>
            </w:r>
          </w:p>
        </w:tc>
        <w:tc>
          <w:tcPr>
            <w:tcW w:w="4050" w:type="dxa"/>
            <w:vMerge/>
            <w:vAlign w:val="center"/>
          </w:tcPr>
          <w:p w:rsidR="00EC7354" w:rsidRDefault="00EC7354">
            <w:pPr>
              <w:rPr>
                <w:rFonts w:ascii="Calibri" w:hAnsi="Calibri"/>
                <w:sz w:val="20"/>
                <w:szCs w:val="20"/>
              </w:rPr>
            </w:pPr>
          </w:p>
        </w:tc>
        <w:tc>
          <w:tcPr>
            <w:tcW w:w="1170" w:type="dxa"/>
            <w:vAlign w:val="center"/>
          </w:tcPr>
          <w:p w:rsidR="00EC7354" w:rsidRDefault="00EC7354">
            <w:pPr>
              <w:jc w:val="center"/>
              <w:rPr>
                <w:rFonts w:ascii="Calibri" w:hAnsi="Calibri"/>
                <w:sz w:val="20"/>
                <w:szCs w:val="20"/>
              </w:rPr>
            </w:pPr>
            <w:r>
              <w:rPr>
                <w:rFonts w:ascii="Calibri" w:hAnsi="Calibri"/>
                <w:sz w:val="20"/>
                <w:szCs w:val="20"/>
              </w:rPr>
              <w:t>Y</w:t>
            </w:r>
          </w:p>
        </w:tc>
        <w:tc>
          <w:tcPr>
            <w:tcW w:w="4320" w:type="dxa"/>
            <w:vAlign w:val="center"/>
          </w:tcPr>
          <w:p w:rsidR="00EC7354" w:rsidRDefault="00917D36" w:rsidP="004F10CB">
            <w:pPr>
              <w:rPr>
                <w:b/>
                <w:sz w:val="20"/>
                <w:szCs w:val="20"/>
              </w:rPr>
            </w:pPr>
            <w:hyperlink r:id="rId9" w:history="1">
              <w:r w:rsidR="00DB582D" w:rsidRPr="004F10CB">
                <w:rPr>
                  <w:rStyle w:val="Hyperlink"/>
                  <w:b/>
                  <w:sz w:val="20"/>
                  <w:szCs w:val="20"/>
                </w:rPr>
                <w:t>By-Laws</w:t>
              </w:r>
            </w:hyperlink>
          </w:p>
        </w:tc>
      </w:tr>
      <w:tr w:rsidR="009276C6" w:rsidTr="00E12229">
        <w:tc>
          <w:tcPr>
            <w:tcW w:w="15397" w:type="dxa"/>
            <w:gridSpan w:val="5"/>
            <w:shd w:val="clear" w:color="auto" w:fill="FFFFFF" w:themeFill="background1"/>
          </w:tcPr>
          <w:p w:rsidR="009276C6" w:rsidRDefault="009276C6" w:rsidP="002E0404">
            <w:pPr>
              <w:rPr>
                <w:b/>
                <w:sz w:val="20"/>
                <w:szCs w:val="20"/>
              </w:rPr>
            </w:pPr>
          </w:p>
        </w:tc>
      </w:tr>
      <w:tr w:rsidR="009276C6" w:rsidTr="00E12229">
        <w:tc>
          <w:tcPr>
            <w:tcW w:w="15397" w:type="dxa"/>
            <w:gridSpan w:val="5"/>
            <w:shd w:val="clear" w:color="auto" w:fill="FBD4B4" w:themeFill="accent6" w:themeFillTint="66"/>
          </w:tcPr>
          <w:p w:rsidR="009276C6" w:rsidRPr="00EC7354" w:rsidRDefault="00EC7354" w:rsidP="00EC7354">
            <w:pPr>
              <w:rPr>
                <w:rFonts w:ascii="Calibri" w:hAnsi="Calibri"/>
                <w:b/>
                <w:bCs/>
                <w:sz w:val="20"/>
                <w:szCs w:val="20"/>
              </w:rPr>
            </w:pPr>
            <w:r>
              <w:rPr>
                <w:b/>
                <w:sz w:val="20"/>
                <w:szCs w:val="20"/>
              </w:rPr>
              <w:t>B</w:t>
            </w:r>
            <w:r w:rsidR="009276C6">
              <w:rPr>
                <w:b/>
                <w:sz w:val="20"/>
                <w:szCs w:val="20"/>
              </w:rPr>
              <w:t xml:space="preserve">.2 </w:t>
            </w:r>
            <w:r>
              <w:rPr>
                <w:rFonts w:ascii="Calibri" w:hAnsi="Calibri"/>
                <w:b/>
                <w:bCs/>
                <w:sz w:val="20"/>
                <w:szCs w:val="20"/>
              </w:rPr>
              <w:t>Notice of AGM</w:t>
            </w:r>
          </w:p>
        </w:tc>
      </w:tr>
      <w:tr w:rsidR="00EC7354" w:rsidTr="00E12229">
        <w:tc>
          <w:tcPr>
            <w:tcW w:w="1087" w:type="dxa"/>
          </w:tcPr>
          <w:p w:rsidR="00EC7354" w:rsidRDefault="00EC7354">
            <w:pPr>
              <w:rPr>
                <w:rFonts w:ascii="Calibri" w:hAnsi="Calibri"/>
                <w:sz w:val="20"/>
                <w:szCs w:val="20"/>
              </w:rPr>
            </w:pPr>
            <w:r>
              <w:rPr>
                <w:rFonts w:ascii="Calibri" w:hAnsi="Calibri"/>
                <w:sz w:val="20"/>
                <w:szCs w:val="20"/>
              </w:rPr>
              <w:t>B.2.1</w:t>
            </w:r>
          </w:p>
        </w:tc>
        <w:tc>
          <w:tcPr>
            <w:tcW w:w="4770" w:type="dxa"/>
          </w:tcPr>
          <w:p w:rsidR="00EC7354" w:rsidRDefault="00EC7354">
            <w:pPr>
              <w:rPr>
                <w:rFonts w:ascii="Calibri" w:hAnsi="Calibri"/>
                <w:sz w:val="20"/>
                <w:szCs w:val="20"/>
              </w:rPr>
            </w:pPr>
            <w:r>
              <w:rPr>
                <w:rFonts w:ascii="Calibri" w:hAnsi="Calibri"/>
                <w:sz w:val="20"/>
                <w:szCs w:val="20"/>
              </w:rPr>
              <w:t>Does each resolution in the most recent AGM deal with only one item, i.e., there is no bundling of several items into the same resolution?</w:t>
            </w:r>
          </w:p>
        </w:tc>
        <w:tc>
          <w:tcPr>
            <w:tcW w:w="4050" w:type="dxa"/>
            <w:vMerge w:val="restart"/>
          </w:tcPr>
          <w:p w:rsidR="00EC7354" w:rsidRDefault="00EC7354">
            <w:pPr>
              <w:rPr>
                <w:rFonts w:ascii="Calibri" w:hAnsi="Calibri"/>
                <w:sz w:val="20"/>
                <w:szCs w:val="20"/>
              </w:rPr>
            </w:pPr>
            <w:r>
              <w:rPr>
                <w:rFonts w:ascii="Calibri" w:hAnsi="Calibri"/>
                <w:b/>
                <w:bCs/>
                <w:sz w:val="20"/>
                <w:szCs w:val="20"/>
              </w:rPr>
              <w:t>OECD Principle II</w:t>
            </w:r>
            <w:r>
              <w:rPr>
                <w:rFonts w:ascii="Calibri" w:hAnsi="Calibri"/>
                <w:sz w:val="20"/>
                <w:szCs w:val="20"/>
              </w:rPr>
              <w:br/>
              <w:t>(C) Shareholders should have the opportunity to participate effectively and vote in general shareholder meetings and should be informed of the rules, including voting procedures, that govern shareholder meetings:</w:t>
            </w:r>
            <w:r>
              <w:rPr>
                <w:rFonts w:ascii="Calibri" w:hAnsi="Calibri"/>
                <w:sz w:val="20"/>
                <w:szCs w:val="20"/>
              </w:rPr>
              <w:br/>
              <w:t>(1) Shareholders should be furnished with sufficient and timely information concerning the date, location and agenda of general meetings, as well as full and timely information regarding the issues to be decided at the meeting.</w:t>
            </w:r>
            <w:r>
              <w:rPr>
                <w:rFonts w:ascii="Calibri" w:hAnsi="Calibri"/>
                <w:sz w:val="20"/>
                <w:szCs w:val="20"/>
              </w:rPr>
              <w:br/>
              <w:t xml:space="preserve">(3) Effective shareholder participation in key corporate governance decisions, such as the nomination and election of board members, </w:t>
            </w:r>
            <w:r>
              <w:rPr>
                <w:rFonts w:ascii="Calibri" w:hAnsi="Calibri"/>
                <w:sz w:val="20"/>
                <w:szCs w:val="20"/>
              </w:rPr>
              <w:lastRenderedPageBreak/>
              <w:t>should be facilitated.</w:t>
            </w:r>
            <w:r>
              <w:rPr>
                <w:rFonts w:ascii="Calibri" w:hAnsi="Calibri"/>
                <w:sz w:val="20"/>
                <w:szCs w:val="20"/>
              </w:rPr>
              <w:br/>
            </w:r>
            <w:r>
              <w:rPr>
                <w:rFonts w:ascii="Calibri" w:hAnsi="Calibri"/>
                <w:sz w:val="20"/>
                <w:szCs w:val="20"/>
              </w:rPr>
              <w:br/>
            </w:r>
            <w:r>
              <w:rPr>
                <w:rFonts w:ascii="Calibri" w:hAnsi="Calibri"/>
                <w:b/>
                <w:bCs/>
                <w:sz w:val="20"/>
                <w:szCs w:val="20"/>
              </w:rPr>
              <w:t>OECD Principle II</w:t>
            </w:r>
            <w:r>
              <w:rPr>
                <w:rFonts w:ascii="Calibri" w:hAnsi="Calibri"/>
                <w:sz w:val="20"/>
                <w:szCs w:val="20"/>
              </w:rPr>
              <w:br/>
              <w:t>(A) All shareholders of the same series of a class should be treat equally.</w:t>
            </w:r>
            <w:r>
              <w:rPr>
                <w:rFonts w:ascii="Calibri" w:hAnsi="Calibri"/>
                <w:sz w:val="20"/>
                <w:szCs w:val="20"/>
              </w:rPr>
              <w:br/>
              <w:t>(4) Impediments to cross border voting should be eliminated.</w:t>
            </w:r>
            <w:r>
              <w:rPr>
                <w:rFonts w:ascii="Calibri" w:hAnsi="Calibri"/>
                <w:sz w:val="20"/>
                <w:szCs w:val="20"/>
              </w:rPr>
              <w:br/>
            </w:r>
            <w:r>
              <w:rPr>
                <w:rFonts w:ascii="Calibri" w:hAnsi="Calibri"/>
                <w:sz w:val="20"/>
                <w:szCs w:val="20"/>
              </w:rPr>
              <w:br/>
            </w:r>
            <w:r>
              <w:rPr>
                <w:rFonts w:ascii="Calibri" w:hAnsi="Calibri"/>
                <w:b/>
                <w:bCs/>
                <w:sz w:val="20"/>
                <w:szCs w:val="20"/>
              </w:rPr>
              <w:t>ICGN 8.3.2 Shareholder participation in governance</w:t>
            </w:r>
            <w:r>
              <w:rPr>
                <w:rFonts w:ascii="Calibri" w:hAnsi="Calibri"/>
                <w:sz w:val="20"/>
                <w:szCs w:val="20"/>
              </w:rPr>
              <w:br/>
              <w:t>Shareholders should have the right to participate in key corporate governance decisions, such as the right to nominate, appoint and remove directors in an individual basis and also the right to appoint external auditor.</w:t>
            </w:r>
            <w:r>
              <w:rPr>
                <w:rFonts w:ascii="Calibri" w:hAnsi="Calibri"/>
                <w:sz w:val="20"/>
                <w:szCs w:val="20"/>
              </w:rPr>
              <w:br/>
            </w:r>
            <w:r>
              <w:rPr>
                <w:rFonts w:ascii="Calibri" w:hAnsi="Calibri"/>
                <w:sz w:val="20"/>
                <w:szCs w:val="20"/>
              </w:rPr>
              <w:br/>
            </w:r>
            <w:r>
              <w:rPr>
                <w:rFonts w:ascii="Calibri" w:hAnsi="Calibri"/>
                <w:b/>
                <w:bCs/>
                <w:sz w:val="20"/>
                <w:szCs w:val="20"/>
              </w:rPr>
              <w:t>ICGN 8.4.1 Shareholder ownership rights</w:t>
            </w:r>
            <w:r>
              <w:rPr>
                <w:rFonts w:ascii="Calibri" w:hAnsi="Calibri"/>
                <w:sz w:val="20"/>
                <w:szCs w:val="20"/>
              </w:rPr>
              <w:br/>
              <w:t>The exercise of ownership rights by all shareholders should be facilitated, including giving shareholders timely and adequate notice of all matters proposed for shareholder vote.</w:t>
            </w:r>
          </w:p>
        </w:tc>
        <w:tc>
          <w:tcPr>
            <w:tcW w:w="1170" w:type="dxa"/>
            <w:vAlign w:val="center"/>
          </w:tcPr>
          <w:p w:rsidR="00EC7354" w:rsidRDefault="00415567">
            <w:pPr>
              <w:jc w:val="center"/>
              <w:rPr>
                <w:rFonts w:ascii="Calibri" w:hAnsi="Calibri"/>
                <w:sz w:val="20"/>
                <w:szCs w:val="20"/>
              </w:rPr>
            </w:pPr>
            <w:r>
              <w:rPr>
                <w:rFonts w:ascii="Calibri" w:hAnsi="Calibri"/>
                <w:sz w:val="20"/>
                <w:szCs w:val="20"/>
              </w:rPr>
              <w:lastRenderedPageBreak/>
              <w:t>Y</w:t>
            </w:r>
          </w:p>
        </w:tc>
        <w:tc>
          <w:tcPr>
            <w:tcW w:w="4320" w:type="dxa"/>
          </w:tcPr>
          <w:p w:rsidR="00EC7354" w:rsidRDefault="008C1225" w:rsidP="008C1225">
            <w:pPr>
              <w:rPr>
                <w:b/>
                <w:sz w:val="20"/>
                <w:szCs w:val="20"/>
              </w:rPr>
            </w:pPr>
            <w:r>
              <w:rPr>
                <w:b/>
                <w:sz w:val="20"/>
                <w:szCs w:val="20"/>
              </w:rPr>
              <w:t xml:space="preserve">The </w:t>
            </w:r>
            <w:hyperlink r:id="rId10" w:history="1">
              <w:r w:rsidRPr="004E7AD0">
                <w:rPr>
                  <w:rStyle w:val="Hyperlink"/>
                  <w:b/>
                  <w:sz w:val="20"/>
                  <w:szCs w:val="20"/>
                </w:rPr>
                <w:t>Notice of the most recent AGM (Annual Shareholders Meeting - April 27, 2015)</w:t>
              </w:r>
            </w:hyperlink>
            <w:r>
              <w:rPr>
                <w:b/>
                <w:sz w:val="20"/>
                <w:szCs w:val="20"/>
              </w:rPr>
              <w:t xml:space="preserve"> deals with only one item per resolution.</w:t>
            </w:r>
          </w:p>
          <w:p w:rsidR="008C1225" w:rsidRDefault="008C1225" w:rsidP="004E7AD0">
            <w:pPr>
              <w:rPr>
                <w:b/>
                <w:sz w:val="20"/>
                <w:szCs w:val="20"/>
              </w:rPr>
            </w:pPr>
          </w:p>
        </w:tc>
      </w:tr>
      <w:tr w:rsidR="00EC7354" w:rsidTr="00E12229">
        <w:tc>
          <w:tcPr>
            <w:tcW w:w="1087" w:type="dxa"/>
          </w:tcPr>
          <w:p w:rsidR="00EC7354" w:rsidRDefault="00EC7354">
            <w:pPr>
              <w:rPr>
                <w:rFonts w:ascii="Calibri" w:hAnsi="Calibri"/>
                <w:sz w:val="20"/>
                <w:szCs w:val="20"/>
              </w:rPr>
            </w:pPr>
            <w:r>
              <w:rPr>
                <w:rFonts w:ascii="Calibri" w:hAnsi="Calibri"/>
                <w:sz w:val="20"/>
                <w:szCs w:val="20"/>
              </w:rPr>
              <w:t>B.2.2</w:t>
            </w:r>
          </w:p>
        </w:tc>
        <w:tc>
          <w:tcPr>
            <w:tcW w:w="4770" w:type="dxa"/>
          </w:tcPr>
          <w:p w:rsidR="00EC7354" w:rsidRDefault="00EC7354">
            <w:pPr>
              <w:rPr>
                <w:rFonts w:ascii="Calibri" w:hAnsi="Calibri"/>
                <w:sz w:val="20"/>
                <w:szCs w:val="20"/>
              </w:rPr>
            </w:pPr>
            <w:r>
              <w:rPr>
                <w:rFonts w:ascii="Calibri" w:hAnsi="Calibri"/>
                <w:sz w:val="20"/>
                <w:szCs w:val="20"/>
              </w:rPr>
              <w:t>Are the company's notice</w:t>
            </w:r>
            <w:r w:rsidR="00A83110">
              <w:rPr>
                <w:rFonts w:ascii="Calibri" w:hAnsi="Calibri"/>
                <w:sz w:val="20"/>
                <w:szCs w:val="20"/>
              </w:rPr>
              <w:t>s</w:t>
            </w:r>
            <w:r>
              <w:rPr>
                <w:rFonts w:ascii="Calibri" w:hAnsi="Calibri"/>
                <w:sz w:val="20"/>
                <w:szCs w:val="20"/>
              </w:rPr>
              <w:t xml:space="preserve"> of the most recent AGM/circulars fully translated into English and published on the same date as the local-language version?</w:t>
            </w:r>
          </w:p>
        </w:tc>
        <w:tc>
          <w:tcPr>
            <w:tcW w:w="4050" w:type="dxa"/>
            <w:vMerge/>
            <w:vAlign w:val="center"/>
          </w:tcPr>
          <w:p w:rsidR="00EC7354" w:rsidRDefault="00EC7354">
            <w:pPr>
              <w:rPr>
                <w:rFonts w:ascii="Calibri" w:hAnsi="Calibri"/>
                <w:sz w:val="20"/>
                <w:szCs w:val="20"/>
              </w:rPr>
            </w:pPr>
          </w:p>
        </w:tc>
        <w:tc>
          <w:tcPr>
            <w:tcW w:w="1170" w:type="dxa"/>
            <w:vAlign w:val="center"/>
          </w:tcPr>
          <w:p w:rsidR="00EC7354" w:rsidRDefault="008B15A3">
            <w:pPr>
              <w:jc w:val="center"/>
              <w:rPr>
                <w:rFonts w:ascii="Calibri" w:hAnsi="Calibri"/>
                <w:sz w:val="20"/>
                <w:szCs w:val="20"/>
              </w:rPr>
            </w:pPr>
            <w:r>
              <w:rPr>
                <w:rFonts w:ascii="Calibri" w:hAnsi="Calibri"/>
                <w:sz w:val="20"/>
                <w:szCs w:val="20"/>
              </w:rPr>
              <w:t>Y</w:t>
            </w:r>
          </w:p>
        </w:tc>
        <w:tc>
          <w:tcPr>
            <w:tcW w:w="4320" w:type="dxa"/>
          </w:tcPr>
          <w:p w:rsidR="00EC7354" w:rsidRDefault="00BF5AC4" w:rsidP="00B0741C">
            <w:pPr>
              <w:rPr>
                <w:b/>
                <w:sz w:val="20"/>
                <w:szCs w:val="20"/>
              </w:rPr>
            </w:pPr>
            <w:r>
              <w:rPr>
                <w:b/>
                <w:sz w:val="20"/>
                <w:szCs w:val="20"/>
              </w:rPr>
              <w:t>All notices and circulars issued or disseminated</w:t>
            </w:r>
            <w:r w:rsidR="00CE1577">
              <w:rPr>
                <w:b/>
                <w:sz w:val="20"/>
                <w:szCs w:val="20"/>
              </w:rPr>
              <w:t xml:space="preserve">, including the </w:t>
            </w:r>
            <w:hyperlink r:id="rId11" w:history="1">
              <w:r w:rsidR="00CE1577" w:rsidRPr="004E7AD0">
                <w:rPr>
                  <w:rStyle w:val="Hyperlink"/>
                  <w:b/>
                  <w:sz w:val="20"/>
                  <w:szCs w:val="20"/>
                </w:rPr>
                <w:t>most recent AGM (Annual Shareholders Meeting - April 27, 2015)</w:t>
              </w:r>
            </w:hyperlink>
            <w:r w:rsidR="00CE1577">
              <w:rPr>
                <w:b/>
                <w:sz w:val="20"/>
                <w:szCs w:val="20"/>
              </w:rPr>
              <w:t xml:space="preserve"> </w:t>
            </w:r>
            <w:r>
              <w:rPr>
                <w:b/>
                <w:sz w:val="20"/>
                <w:szCs w:val="20"/>
              </w:rPr>
              <w:t>by the company are in full English text</w:t>
            </w:r>
            <w:r w:rsidR="00CE1577">
              <w:rPr>
                <w:b/>
                <w:sz w:val="20"/>
                <w:szCs w:val="20"/>
              </w:rPr>
              <w:t xml:space="preserve"> so as no need for translation.</w:t>
            </w:r>
          </w:p>
          <w:p w:rsidR="00CE1577" w:rsidRDefault="00CE1577" w:rsidP="004E7AD0">
            <w:pPr>
              <w:rPr>
                <w:b/>
                <w:sz w:val="20"/>
                <w:szCs w:val="20"/>
              </w:rPr>
            </w:pPr>
          </w:p>
        </w:tc>
      </w:tr>
      <w:tr w:rsidR="00EC7354" w:rsidTr="00E12229">
        <w:tc>
          <w:tcPr>
            <w:tcW w:w="5857" w:type="dxa"/>
            <w:gridSpan w:val="2"/>
          </w:tcPr>
          <w:p w:rsidR="00EC7354" w:rsidRDefault="00EC7354">
            <w:pPr>
              <w:rPr>
                <w:rFonts w:ascii="Calibri" w:hAnsi="Calibri"/>
                <w:sz w:val="20"/>
                <w:szCs w:val="20"/>
              </w:rPr>
            </w:pPr>
            <w:r>
              <w:rPr>
                <w:rFonts w:ascii="Calibri" w:hAnsi="Calibri"/>
                <w:sz w:val="20"/>
                <w:szCs w:val="20"/>
              </w:rPr>
              <w:t> </w:t>
            </w:r>
          </w:p>
          <w:p w:rsidR="00EC7354" w:rsidRDefault="00EC7354">
            <w:pPr>
              <w:rPr>
                <w:rFonts w:ascii="Calibri" w:hAnsi="Calibri"/>
                <w:b/>
                <w:bCs/>
                <w:i/>
                <w:iCs/>
                <w:sz w:val="20"/>
                <w:szCs w:val="20"/>
              </w:rPr>
            </w:pPr>
            <w:r>
              <w:rPr>
                <w:rFonts w:ascii="Calibri" w:hAnsi="Calibri"/>
                <w:b/>
                <w:bCs/>
                <w:i/>
                <w:iCs/>
                <w:sz w:val="20"/>
                <w:szCs w:val="20"/>
              </w:rPr>
              <w:t>Does the notice of AGM/circulars have the following details:</w:t>
            </w:r>
          </w:p>
        </w:tc>
        <w:tc>
          <w:tcPr>
            <w:tcW w:w="4050" w:type="dxa"/>
            <w:vMerge/>
            <w:vAlign w:val="center"/>
          </w:tcPr>
          <w:p w:rsidR="00EC7354" w:rsidRDefault="00EC7354">
            <w:pPr>
              <w:rPr>
                <w:rFonts w:ascii="Calibri" w:hAnsi="Calibri"/>
                <w:sz w:val="20"/>
                <w:szCs w:val="20"/>
              </w:rPr>
            </w:pPr>
          </w:p>
        </w:tc>
        <w:tc>
          <w:tcPr>
            <w:tcW w:w="1170" w:type="dxa"/>
          </w:tcPr>
          <w:p w:rsidR="00EC7354" w:rsidRDefault="00EC7354">
            <w:pPr>
              <w:jc w:val="center"/>
              <w:rPr>
                <w:rFonts w:ascii="Calibri" w:hAnsi="Calibri"/>
                <w:b/>
                <w:bCs/>
                <w:i/>
                <w:iCs/>
                <w:sz w:val="20"/>
                <w:szCs w:val="20"/>
              </w:rPr>
            </w:pPr>
          </w:p>
        </w:tc>
        <w:tc>
          <w:tcPr>
            <w:tcW w:w="4320" w:type="dxa"/>
          </w:tcPr>
          <w:p w:rsidR="00EC7354" w:rsidRDefault="00EC7354" w:rsidP="002E0404">
            <w:pPr>
              <w:rPr>
                <w:b/>
                <w:sz w:val="20"/>
                <w:szCs w:val="20"/>
              </w:rPr>
            </w:pPr>
          </w:p>
        </w:tc>
      </w:tr>
      <w:tr w:rsidR="00EC7354" w:rsidTr="00E12229">
        <w:tc>
          <w:tcPr>
            <w:tcW w:w="1087" w:type="dxa"/>
          </w:tcPr>
          <w:p w:rsidR="00EC7354" w:rsidRDefault="00EC7354">
            <w:pPr>
              <w:rPr>
                <w:rFonts w:ascii="Calibri" w:hAnsi="Calibri"/>
                <w:sz w:val="20"/>
                <w:szCs w:val="20"/>
              </w:rPr>
            </w:pPr>
            <w:r>
              <w:rPr>
                <w:rFonts w:ascii="Calibri" w:hAnsi="Calibri"/>
                <w:sz w:val="20"/>
                <w:szCs w:val="20"/>
              </w:rPr>
              <w:t>B.2.3</w:t>
            </w:r>
          </w:p>
        </w:tc>
        <w:tc>
          <w:tcPr>
            <w:tcW w:w="4770" w:type="dxa"/>
          </w:tcPr>
          <w:p w:rsidR="00EC7354" w:rsidRDefault="00EC7354">
            <w:pPr>
              <w:rPr>
                <w:rFonts w:ascii="Calibri" w:hAnsi="Calibri"/>
                <w:sz w:val="20"/>
                <w:szCs w:val="20"/>
              </w:rPr>
            </w:pPr>
            <w:r w:rsidRPr="00B4283C">
              <w:rPr>
                <w:rFonts w:ascii="Calibri" w:hAnsi="Calibri"/>
                <w:sz w:val="20"/>
                <w:szCs w:val="20"/>
              </w:rPr>
              <w:t xml:space="preserve">Are the profiles of directors/commissioners </w:t>
            </w:r>
            <w:r w:rsidR="008E56A2" w:rsidRPr="00B4283C">
              <w:rPr>
                <w:rFonts w:ascii="Calibri" w:hAnsi="Calibri"/>
                <w:sz w:val="20"/>
                <w:szCs w:val="20"/>
              </w:rPr>
              <w:t>(at</w:t>
            </w:r>
            <w:r w:rsidRPr="00B4283C">
              <w:rPr>
                <w:rFonts w:ascii="Calibri" w:hAnsi="Calibri"/>
                <w:sz w:val="20"/>
                <w:szCs w:val="20"/>
              </w:rPr>
              <w:t xml:space="preserve"> least age, academic qualification, date of first appointment, experience, and directorships in other listed </w:t>
            </w:r>
            <w:r w:rsidRPr="00B4283C">
              <w:rPr>
                <w:rFonts w:ascii="Calibri" w:hAnsi="Calibri"/>
                <w:sz w:val="20"/>
                <w:szCs w:val="20"/>
              </w:rPr>
              <w:lastRenderedPageBreak/>
              <w:t>companies) in seeking election/re-election included?</w:t>
            </w:r>
          </w:p>
        </w:tc>
        <w:tc>
          <w:tcPr>
            <w:tcW w:w="4050" w:type="dxa"/>
            <w:vMerge/>
            <w:vAlign w:val="center"/>
          </w:tcPr>
          <w:p w:rsidR="00EC7354" w:rsidRDefault="00EC7354">
            <w:pPr>
              <w:rPr>
                <w:rFonts w:ascii="Calibri" w:hAnsi="Calibri"/>
                <w:sz w:val="20"/>
                <w:szCs w:val="20"/>
              </w:rPr>
            </w:pPr>
          </w:p>
        </w:tc>
        <w:tc>
          <w:tcPr>
            <w:tcW w:w="1170" w:type="dxa"/>
            <w:vAlign w:val="center"/>
          </w:tcPr>
          <w:p w:rsidR="00EC7354" w:rsidRDefault="00850DBC">
            <w:pPr>
              <w:jc w:val="center"/>
              <w:rPr>
                <w:rFonts w:ascii="Calibri" w:hAnsi="Calibri"/>
                <w:sz w:val="20"/>
                <w:szCs w:val="20"/>
              </w:rPr>
            </w:pPr>
            <w:r>
              <w:rPr>
                <w:rFonts w:ascii="Calibri" w:hAnsi="Calibri"/>
                <w:sz w:val="20"/>
                <w:szCs w:val="20"/>
              </w:rPr>
              <w:t>Y</w:t>
            </w:r>
          </w:p>
        </w:tc>
        <w:tc>
          <w:tcPr>
            <w:tcW w:w="4320" w:type="dxa"/>
          </w:tcPr>
          <w:p w:rsidR="00EC7354" w:rsidRDefault="00DB582D" w:rsidP="002E0404">
            <w:pPr>
              <w:rPr>
                <w:b/>
                <w:sz w:val="20"/>
                <w:szCs w:val="20"/>
              </w:rPr>
            </w:pPr>
            <w:r>
              <w:rPr>
                <w:b/>
                <w:sz w:val="20"/>
                <w:szCs w:val="20"/>
              </w:rPr>
              <w:t>As seen on the website</w:t>
            </w:r>
            <w:r w:rsidRPr="00B4283C">
              <w:rPr>
                <w:b/>
                <w:sz w:val="20"/>
                <w:szCs w:val="20"/>
              </w:rPr>
              <w:t xml:space="preserve">, </w:t>
            </w:r>
            <w:hyperlink r:id="rId12" w:history="1">
              <w:r w:rsidRPr="00B4283C">
                <w:rPr>
                  <w:rStyle w:val="Hyperlink"/>
                  <w:b/>
                  <w:sz w:val="20"/>
                  <w:szCs w:val="20"/>
                </w:rPr>
                <w:t>Board of Directors</w:t>
              </w:r>
            </w:hyperlink>
          </w:p>
        </w:tc>
      </w:tr>
      <w:tr w:rsidR="00EC7354" w:rsidTr="00E12229">
        <w:tc>
          <w:tcPr>
            <w:tcW w:w="1087" w:type="dxa"/>
          </w:tcPr>
          <w:p w:rsidR="00EC7354" w:rsidRDefault="00EC7354">
            <w:pPr>
              <w:rPr>
                <w:rFonts w:ascii="Calibri" w:hAnsi="Calibri"/>
                <w:sz w:val="20"/>
                <w:szCs w:val="20"/>
              </w:rPr>
            </w:pPr>
            <w:r>
              <w:rPr>
                <w:rFonts w:ascii="Calibri" w:hAnsi="Calibri"/>
                <w:sz w:val="20"/>
                <w:szCs w:val="20"/>
              </w:rPr>
              <w:lastRenderedPageBreak/>
              <w:t>B.2.4</w:t>
            </w:r>
          </w:p>
        </w:tc>
        <w:tc>
          <w:tcPr>
            <w:tcW w:w="4770" w:type="dxa"/>
          </w:tcPr>
          <w:p w:rsidR="00EC7354" w:rsidRPr="002572BA" w:rsidRDefault="00EC7354">
            <w:pPr>
              <w:rPr>
                <w:rFonts w:ascii="Calibri" w:hAnsi="Calibri"/>
                <w:sz w:val="20"/>
                <w:szCs w:val="20"/>
              </w:rPr>
            </w:pPr>
            <w:r w:rsidRPr="002572BA">
              <w:rPr>
                <w:rFonts w:ascii="Calibri" w:hAnsi="Calibri"/>
                <w:sz w:val="20"/>
                <w:szCs w:val="20"/>
              </w:rPr>
              <w:t>Are the auditors seeking appointment/re-appointment clearly identified?</w:t>
            </w:r>
          </w:p>
        </w:tc>
        <w:tc>
          <w:tcPr>
            <w:tcW w:w="4050" w:type="dxa"/>
            <w:vMerge/>
            <w:vAlign w:val="center"/>
          </w:tcPr>
          <w:p w:rsidR="00EC7354" w:rsidRPr="002572BA" w:rsidRDefault="00EC7354">
            <w:pPr>
              <w:rPr>
                <w:rFonts w:ascii="Calibri" w:hAnsi="Calibri"/>
                <w:sz w:val="20"/>
                <w:szCs w:val="20"/>
              </w:rPr>
            </w:pPr>
          </w:p>
        </w:tc>
        <w:tc>
          <w:tcPr>
            <w:tcW w:w="1170" w:type="dxa"/>
            <w:vAlign w:val="center"/>
          </w:tcPr>
          <w:p w:rsidR="00EC7354" w:rsidRPr="002572BA" w:rsidRDefault="00B30767">
            <w:pPr>
              <w:jc w:val="center"/>
              <w:rPr>
                <w:rFonts w:ascii="Calibri" w:hAnsi="Calibri"/>
                <w:sz w:val="20"/>
                <w:szCs w:val="20"/>
              </w:rPr>
            </w:pPr>
            <w:r w:rsidRPr="002572BA">
              <w:rPr>
                <w:rFonts w:ascii="Calibri" w:hAnsi="Calibri"/>
                <w:sz w:val="20"/>
                <w:szCs w:val="20"/>
              </w:rPr>
              <w:t>Y</w:t>
            </w:r>
          </w:p>
        </w:tc>
        <w:tc>
          <w:tcPr>
            <w:tcW w:w="4320" w:type="dxa"/>
          </w:tcPr>
          <w:p w:rsidR="00EC7354" w:rsidRPr="002572BA" w:rsidRDefault="00917D36" w:rsidP="002E0404">
            <w:pPr>
              <w:rPr>
                <w:b/>
                <w:sz w:val="20"/>
                <w:szCs w:val="20"/>
              </w:rPr>
            </w:pPr>
            <w:hyperlink r:id="rId13" w:history="1">
              <w:r w:rsidR="00DB582D" w:rsidRPr="002572BA">
                <w:rPr>
                  <w:rStyle w:val="Hyperlink"/>
                  <w:b/>
                  <w:sz w:val="20"/>
                  <w:szCs w:val="20"/>
                </w:rPr>
                <w:t>Notice of Regular Meeting of the Board, 27 April 2015</w:t>
              </w:r>
            </w:hyperlink>
          </w:p>
        </w:tc>
      </w:tr>
      <w:tr w:rsidR="00EC7354" w:rsidTr="00E12229">
        <w:tc>
          <w:tcPr>
            <w:tcW w:w="1087" w:type="dxa"/>
          </w:tcPr>
          <w:p w:rsidR="00EC7354" w:rsidRDefault="00EC7354">
            <w:pPr>
              <w:rPr>
                <w:rFonts w:ascii="Calibri" w:hAnsi="Calibri"/>
                <w:sz w:val="20"/>
                <w:szCs w:val="20"/>
              </w:rPr>
            </w:pPr>
            <w:r>
              <w:rPr>
                <w:rFonts w:ascii="Calibri" w:hAnsi="Calibri"/>
                <w:sz w:val="20"/>
                <w:szCs w:val="20"/>
              </w:rPr>
              <w:t>B.2.5</w:t>
            </w:r>
          </w:p>
        </w:tc>
        <w:tc>
          <w:tcPr>
            <w:tcW w:w="4770" w:type="dxa"/>
          </w:tcPr>
          <w:p w:rsidR="00EC7354" w:rsidRDefault="00EC7354">
            <w:pPr>
              <w:rPr>
                <w:rFonts w:ascii="Calibri" w:hAnsi="Calibri"/>
                <w:sz w:val="20"/>
                <w:szCs w:val="20"/>
              </w:rPr>
            </w:pPr>
            <w:r>
              <w:rPr>
                <w:rFonts w:ascii="Calibri" w:hAnsi="Calibri"/>
                <w:sz w:val="20"/>
                <w:szCs w:val="20"/>
              </w:rPr>
              <w:t>Has an explanation of the dividend policy been provided?</w:t>
            </w:r>
          </w:p>
        </w:tc>
        <w:tc>
          <w:tcPr>
            <w:tcW w:w="4050" w:type="dxa"/>
            <w:vMerge/>
            <w:vAlign w:val="center"/>
          </w:tcPr>
          <w:p w:rsidR="00EC7354" w:rsidRDefault="00EC7354">
            <w:pPr>
              <w:rPr>
                <w:rFonts w:ascii="Calibri" w:hAnsi="Calibri"/>
                <w:sz w:val="20"/>
                <w:szCs w:val="20"/>
              </w:rPr>
            </w:pPr>
          </w:p>
        </w:tc>
        <w:tc>
          <w:tcPr>
            <w:tcW w:w="1170" w:type="dxa"/>
            <w:vAlign w:val="center"/>
          </w:tcPr>
          <w:p w:rsidR="00EC7354" w:rsidRDefault="00A323ED">
            <w:pPr>
              <w:jc w:val="center"/>
              <w:rPr>
                <w:rFonts w:ascii="Calibri" w:hAnsi="Calibri"/>
                <w:sz w:val="20"/>
                <w:szCs w:val="20"/>
              </w:rPr>
            </w:pPr>
            <w:r>
              <w:rPr>
                <w:rFonts w:ascii="Calibri" w:hAnsi="Calibri"/>
                <w:sz w:val="20"/>
                <w:szCs w:val="20"/>
              </w:rPr>
              <w:t>Y</w:t>
            </w:r>
          </w:p>
        </w:tc>
        <w:tc>
          <w:tcPr>
            <w:tcW w:w="4320" w:type="dxa"/>
          </w:tcPr>
          <w:p w:rsidR="00EC7354" w:rsidRDefault="00EC7354" w:rsidP="002E0404">
            <w:pPr>
              <w:rPr>
                <w:b/>
                <w:sz w:val="20"/>
                <w:szCs w:val="20"/>
              </w:rPr>
            </w:pPr>
          </w:p>
          <w:p w:rsidR="00B30767" w:rsidRDefault="00B30767" w:rsidP="002E0404">
            <w:pPr>
              <w:rPr>
                <w:b/>
                <w:sz w:val="20"/>
                <w:szCs w:val="20"/>
              </w:rPr>
            </w:pPr>
          </w:p>
          <w:p w:rsidR="00B30767" w:rsidRDefault="00917D36" w:rsidP="002E0404">
            <w:pPr>
              <w:rPr>
                <w:b/>
                <w:sz w:val="20"/>
                <w:szCs w:val="20"/>
              </w:rPr>
            </w:pPr>
            <w:hyperlink r:id="rId14" w:history="1">
              <w:r w:rsidR="00B840AF" w:rsidRPr="00B840AF">
                <w:rPr>
                  <w:rStyle w:val="Hyperlink"/>
                  <w:b/>
                  <w:sz w:val="20"/>
                  <w:szCs w:val="20"/>
                </w:rPr>
                <w:t>Art. VII, Sec. 3 of the Company’s By-laws provide the dividend policy.</w:t>
              </w:r>
            </w:hyperlink>
          </w:p>
          <w:p w:rsidR="00B30767" w:rsidRDefault="00B30767" w:rsidP="002E0404">
            <w:pPr>
              <w:rPr>
                <w:b/>
                <w:sz w:val="20"/>
                <w:szCs w:val="20"/>
              </w:rPr>
            </w:pPr>
          </w:p>
        </w:tc>
      </w:tr>
      <w:tr w:rsidR="00EC7354" w:rsidTr="00E12229">
        <w:tc>
          <w:tcPr>
            <w:tcW w:w="1087" w:type="dxa"/>
          </w:tcPr>
          <w:p w:rsidR="00EC7354" w:rsidRDefault="00EC7354">
            <w:pPr>
              <w:rPr>
                <w:rFonts w:ascii="Calibri" w:hAnsi="Calibri"/>
                <w:sz w:val="20"/>
                <w:szCs w:val="20"/>
              </w:rPr>
            </w:pPr>
            <w:r>
              <w:rPr>
                <w:rFonts w:ascii="Calibri" w:hAnsi="Calibri"/>
                <w:sz w:val="20"/>
                <w:szCs w:val="20"/>
              </w:rPr>
              <w:t>B.2.6</w:t>
            </w:r>
          </w:p>
        </w:tc>
        <w:tc>
          <w:tcPr>
            <w:tcW w:w="4770" w:type="dxa"/>
          </w:tcPr>
          <w:p w:rsidR="00EC7354" w:rsidRDefault="00EC7354">
            <w:pPr>
              <w:rPr>
                <w:rFonts w:ascii="Calibri" w:hAnsi="Calibri"/>
                <w:sz w:val="20"/>
                <w:szCs w:val="20"/>
              </w:rPr>
            </w:pPr>
            <w:r>
              <w:rPr>
                <w:rFonts w:ascii="Calibri" w:hAnsi="Calibri"/>
                <w:sz w:val="20"/>
                <w:szCs w:val="20"/>
              </w:rPr>
              <w:t>Is the amount payable for final dividends disclosed?</w:t>
            </w:r>
          </w:p>
        </w:tc>
        <w:tc>
          <w:tcPr>
            <w:tcW w:w="4050" w:type="dxa"/>
            <w:vMerge/>
            <w:vAlign w:val="center"/>
          </w:tcPr>
          <w:p w:rsidR="00EC7354" w:rsidRDefault="00EC7354">
            <w:pPr>
              <w:rPr>
                <w:rFonts w:ascii="Calibri" w:hAnsi="Calibri"/>
                <w:sz w:val="20"/>
                <w:szCs w:val="20"/>
              </w:rPr>
            </w:pPr>
          </w:p>
        </w:tc>
        <w:tc>
          <w:tcPr>
            <w:tcW w:w="1170" w:type="dxa"/>
            <w:vAlign w:val="center"/>
          </w:tcPr>
          <w:p w:rsidR="00EC7354" w:rsidRDefault="00B840AF">
            <w:pPr>
              <w:jc w:val="center"/>
              <w:rPr>
                <w:rFonts w:ascii="Calibri" w:hAnsi="Calibri"/>
                <w:sz w:val="20"/>
                <w:szCs w:val="20"/>
              </w:rPr>
            </w:pPr>
            <w:r>
              <w:rPr>
                <w:rFonts w:ascii="Calibri" w:hAnsi="Calibri"/>
                <w:sz w:val="20"/>
                <w:szCs w:val="20"/>
              </w:rPr>
              <w:t>N</w:t>
            </w:r>
          </w:p>
        </w:tc>
        <w:tc>
          <w:tcPr>
            <w:tcW w:w="4320" w:type="dxa"/>
          </w:tcPr>
          <w:p w:rsidR="00B30767" w:rsidRDefault="00B30767" w:rsidP="00B30767">
            <w:pPr>
              <w:rPr>
                <w:b/>
                <w:sz w:val="20"/>
                <w:szCs w:val="20"/>
              </w:rPr>
            </w:pPr>
          </w:p>
          <w:p w:rsidR="00EC7354" w:rsidRDefault="00EC7354" w:rsidP="00B840AF">
            <w:pPr>
              <w:rPr>
                <w:b/>
                <w:sz w:val="20"/>
                <w:szCs w:val="20"/>
              </w:rPr>
            </w:pPr>
          </w:p>
        </w:tc>
      </w:tr>
      <w:tr w:rsidR="00EC7354" w:rsidTr="00E12229">
        <w:tc>
          <w:tcPr>
            <w:tcW w:w="1087" w:type="dxa"/>
          </w:tcPr>
          <w:p w:rsidR="00EC7354" w:rsidRDefault="00EC7354">
            <w:pPr>
              <w:rPr>
                <w:rFonts w:ascii="Calibri" w:hAnsi="Calibri"/>
                <w:sz w:val="20"/>
                <w:szCs w:val="20"/>
              </w:rPr>
            </w:pPr>
            <w:r>
              <w:rPr>
                <w:rFonts w:ascii="Calibri" w:hAnsi="Calibri"/>
                <w:sz w:val="20"/>
                <w:szCs w:val="20"/>
              </w:rPr>
              <w:t>B.2.7</w:t>
            </w:r>
          </w:p>
        </w:tc>
        <w:tc>
          <w:tcPr>
            <w:tcW w:w="4770" w:type="dxa"/>
          </w:tcPr>
          <w:p w:rsidR="00EC7354" w:rsidRDefault="00EC7354">
            <w:pPr>
              <w:rPr>
                <w:rFonts w:ascii="Calibri" w:hAnsi="Calibri"/>
                <w:sz w:val="20"/>
                <w:szCs w:val="20"/>
              </w:rPr>
            </w:pPr>
            <w:r>
              <w:rPr>
                <w:rFonts w:ascii="Calibri" w:hAnsi="Calibri"/>
                <w:sz w:val="20"/>
                <w:szCs w:val="20"/>
              </w:rPr>
              <w:t>Were the proxy documents made easily available?</w:t>
            </w:r>
          </w:p>
        </w:tc>
        <w:tc>
          <w:tcPr>
            <w:tcW w:w="4050" w:type="dxa"/>
            <w:vMerge/>
            <w:vAlign w:val="center"/>
          </w:tcPr>
          <w:p w:rsidR="00EC7354" w:rsidRDefault="00EC7354">
            <w:pPr>
              <w:rPr>
                <w:rFonts w:ascii="Calibri" w:hAnsi="Calibri"/>
                <w:sz w:val="20"/>
                <w:szCs w:val="20"/>
              </w:rPr>
            </w:pPr>
          </w:p>
        </w:tc>
        <w:tc>
          <w:tcPr>
            <w:tcW w:w="1170" w:type="dxa"/>
            <w:vAlign w:val="center"/>
          </w:tcPr>
          <w:p w:rsidR="00EC7354" w:rsidRDefault="00B30767">
            <w:pPr>
              <w:jc w:val="center"/>
              <w:rPr>
                <w:rFonts w:ascii="Calibri" w:hAnsi="Calibri"/>
                <w:sz w:val="20"/>
                <w:szCs w:val="20"/>
              </w:rPr>
            </w:pPr>
            <w:r>
              <w:rPr>
                <w:rFonts w:ascii="Calibri" w:hAnsi="Calibri"/>
                <w:sz w:val="20"/>
                <w:szCs w:val="20"/>
              </w:rPr>
              <w:t>Y</w:t>
            </w:r>
          </w:p>
        </w:tc>
        <w:tc>
          <w:tcPr>
            <w:tcW w:w="4320" w:type="dxa"/>
          </w:tcPr>
          <w:p w:rsidR="00BD7F69" w:rsidRDefault="00BD7F69" w:rsidP="00B4283C">
            <w:pPr>
              <w:rPr>
                <w:b/>
                <w:sz w:val="20"/>
                <w:szCs w:val="20"/>
              </w:rPr>
            </w:pPr>
            <w:r>
              <w:rPr>
                <w:b/>
                <w:sz w:val="20"/>
                <w:szCs w:val="20"/>
              </w:rPr>
              <w:t xml:space="preserve">The </w:t>
            </w:r>
            <w:hyperlink r:id="rId15" w:history="1">
              <w:r w:rsidRPr="00B4283C">
                <w:rPr>
                  <w:rStyle w:val="Hyperlink"/>
                  <w:b/>
                  <w:sz w:val="20"/>
                  <w:szCs w:val="20"/>
                </w:rPr>
                <w:t>proxy</w:t>
              </w:r>
              <w:r w:rsidR="00835C1A" w:rsidRPr="00B4283C">
                <w:rPr>
                  <w:rStyle w:val="Hyperlink"/>
                  <w:b/>
                  <w:sz w:val="20"/>
                  <w:szCs w:val="20"/>
                </w:rPr>
                <w:t xml:space="preserve"> form</w:t>
              </w:r>
            </w:hyperlink>
            <w:r>
              <w:rPr>
                <w:b/>
                <w:sz w:val="20"/>
                <w:szCs w:val="20"/>
              </w:rPr>
              <w:t xml:space="preserve"> is readily available in the company’s website for </w:t>
            </w:r>
            <w:r w:rsidR="00C5066D">
              <w:rPr>
                <w:b/>
                <w:sz w:val="20"/>
                <w:szCs w:val="20"/>
              </w:rPr>
              <w:t xml:space="preserve">the easy access of </w:t>
            </w:r>
            <w:r>
              <w:rPr>
                <w:b/>
                <w:sz w:val="20"/>
                <w:szCs w:val="20"/>
              </w:rPr>
              <w:t>shareholders.</w:t>
            </w:r>
          </w:p>
        </w:tc>
      </w:tr>
      <w:tr w:rsidR="009276C6" w:rsidTr="00E12229">
        <w:tc>
          <w:tcPr>
            <w:tcW w:w="15397" w:type="dxa"/>
            <w:gridSpan w:val="5"/>
          </w:tcPr>
          <w:p w:rsidR="009276C6" w:rsidRDefault="009276C6" w:rsidP="002E0404">
            <w:pPr>
              <w:rPr>
                <w:b/>
                <w:sz w:val="20"/>
                <w:szCs w:val="20"/>
              </w:rPr>
            </w:pPr>
          </w:p>
        </w:tc>
      </w:tr>
      <w:tr w:rsidR="009276C6" w:rsidTr="00E12229">
        <w:tc>
          <w:tcPr>
            <w:tcW w:w="15397" w:type="dxa"/>
            <w:gridSpan w:val="5"/>
            <w:shd w:val="clear" w:color="auto" w:fill="FBD4B4" w:themeFill="accent6" w:themeFillTint="66"/>
          </w:tcPr>
          <w:p w:rsidR="009276C6" w:rsidRPr="00B274F5" w:rsidRDefault="000E040F" w:rsidP="002E0404">
            <w:pPr>
              <w:rPr>
                <w:rFonts w:ascii="Calibri" w:hAnsi="Calibri"/>
                <w:b/>
                <w:bCs/>
                <w:sz w:val="20"/>
                <w:szCs w:val="20"/>
              </w:rPr>
            </w:pPr>
            <w:r>
              <w:rPr>
                <w:rFonts w:ascii="Calibri" w:hAnsi="Calibri"/>
                <w:bCs/>
                <w:sz w:val="20"/>
                <w:szCs w:val="20"/>
              </w:rPr>
              <w:t>B</w:t>
            </w:r>
            <w:r w:rsidR="009276C6">
              <w:rPr>
                <w:rFonts w:ascii="Calibri" w:hAnsi="Calibri"/>
                <w:b/>
                <w:bCs/>
                <w:sz w:val="20"/>
                <w:szCs w:val="20"/>
              </w:rPr>
              <w:t xml:space="preserve">.3 </w:t>
            </w:r>
            <w:r>
              <w:rPr>
                <w:rFonts w:ascii="Calibri" w:hAnsi="Calibri"/>
                <w:b/>
                <w:bCs/>
                <w:sz w:val="20"/>
                <w:szCs w:val="20"/>
              </w:rPr>
              <w:t>Insider trading and abusive self-dealing should be prohibited.</w:t>
            </w:r>
          </w:p>
        </w:tc>
      </w:tr>
      <w:tr w:rsidR="00631615" w:rsidTr="00E12229">
        <w:tc>
          <w:tcPr>
            <w:tcW w:w="1087" w:type="dxa"/>
          </w:tcPr>
          <w:p w:rsidR="00631615" w:rsidRDefault="00631615">
            <w:pPr>
              <w:rPr>
                <w:rFonts w:ascii="Calibri" w:hAnsi="Calibri"/>
                <w:sz w:val="20"/>
                <w:szCs w:val="20"/>
              </w:rPr>
            </w:pPr>
            <w:r>
              <w:rPr>
                <w:rFonts w:ascii="Calibri" w:hAnsi="Calibri"/>
                <w:sz w:val="20"/>
                <w:szCs w:val="20"/>
              </w:rPr>
              <w:t>B.3.1</w:t>
            </w:r>
          </w:p>
        </w:tc>
        <w:tc>
          <w:tcPr>
            <w:tcW w:w="4770" w:type="dxa"/>
          </w:tcPr>
          <w:p w:rsidR="00631615" w:rsidRPr="00612C42" w:rsidRDefault="00631615">
            <w:pPr>
              <w:rPr>
                <w:rFonts w:ascii="Calibri" w:hAnsi="Calibri"/>
                <w:color w:val="000000" w:themeColor="text1"/>
                <w:sz w:val="20"/>
                <w:szCs w:val="20"/>
              </w:rPr>
            </w:pPr>
            <w:r w:rsidRPr="00612C42">
              <w:rPr>
                <w:rFonts w:ascii="Calibri" w:hAnsi="Calibri"/>
                <w:color w:val="000000" w:themeColor="text1"/>
                <w:sz w:val="20"/>
                <w:szCs w:val="20"/>
              </w:rPr>
              <w:t>Does the company have policies and/or rules prohibiting directors/commissioners and employees to benefit from knowledge which is not generally available to the market?</w:t>
            </w:r>
          </w:p>
        </w:tc>
        <w:tc>
          <w:tcPr>
            <w:tcW w:w="4050" w:type="dxa"/>
            <w:vMerge w:val="restart"/>
          </w:tcPr>
          <w:p w:rsidR="00631615" w:rsidRDefault="00631615">
            <w:pPr>
              <w:rPr>
                <w:rFonts w:ascii="Calibri" w:hAnsi="Calibri"/>
                <w:sz w:val="20"/>
                <w:szCs w:val="20"/>
              </w:rPr>
            </w:pPr>
            <w:r>
              <w:rPr>
                <w:rFonts w:ascii="Calibri" w:hAnsi="Calibri"/>
                <w:b/>
                <w:bCs/>
                <w:sz w:val="20"/>
                <w:szCs w:val="20"/>
              </w:rPr>
              <w:t xml:space="preserve">OECD Principle III </w:t>
            </w:r>
            <w:r>
              <w:rPr>
                <w:rFonts w:ascii="Calibri" w:hAnsi="Calibri"/>
                <w:b/>
                <w:bCs/>
                <w:sz w:val="20"/>
                <w:szCs w:val="20"/>
              </w:rPr>
              <w:br/>
              <w:t>(B) Insider trading and abusive dealing should be prohibited</w:t>
            </w:r>
            <w:r>
              <w:rPr>
                <w:rFonts w:ascii="Calibri" w:hAnsi="Calibri"/>
                <w:sz w:val="20"/>
                <w:szCs w:val="20"/>
              </w:rPr>
              <w:br/>
            </w:r>
            <w:r>
              <w:rPr>
                <w:rFonts w:ascii="Calibri" w:hAnsi="Calibri"/>
                <w:b/>
                <w:bCs/>
                <w:sz w:val="20"/>
                <w:szCs w:val="20"/>
              </w:rPr>
              <w:br/>
              <w:t>ICGN 3.5 Employee share dealing</w:t>
            </w:r>
            <w:r>
              <w:rPr>
                <w:rFonts w:ascii="Calibri" w:hAnsi="Calibri"/>
                <w:b/>
                <w:bCs/>
                <w:sz w:val="20"/>
                <w:szCs w:val="20"/>
              </w:rPr>
              <w:br/>
            </w:r>
            <w:r>
              <w:rPr>
                <w:rFonts w:ascii="Calibri" w:hAnsi="Calibri"/>
                <w:sz w:val="20"/>
                <w:szCs w:val="20"/>
              </w:rPr>
              <w:t>Companies should have clear rules regarding any trading by directors and employees in the company's own securities. Among other issues, these must seek to ensure individuals do not benefit from knowledge which is not generally available to the market.</w:t>
            </w:r>
            <w:r>
              <w:rPr>
                <w:rFonts w:ascii="Calibri" w:hAnsi="Calibri"/>
                <w:sz w:val="20"/>
                <w:szCs w:val="20"/>
              </w:rPr>
              <w:br/>
            </w:r>
            <w:r>
              <w:rPr>
                <w:rFonts w:ascii="Calibri" w:hAnsi="Calibri"/>
                <w:b/>
                <w:bCs/>
                <w:sz w:val="20"/>
                <w:szCs w:val="20"/>
              </w:rPr>
              <w:br/>
              <w:t>ICGN 8.5 Shareholder rights of action</w:t>
            </w:r>
            <w:r>
              <w:rPr>
                <w:rFonts w:ascii="Calibri" w:hAnsi="Calibri"/>
                <w:b/>
                <w:bCs/>
                <w:sz w:val="20"/>
                <w:szCs w:val="20"/>
              </w:rPr>
              <w:br/>
            </w:r>
            <w:r>
              <w:rPr>
                <w:rFonts w:ascii="Calibri" w:hAnsi="Calibri"/>
                <w:sz w:val="20"/>
                <w:szCs w:val="20"/>
              </w:rPr>
              <w:t>... Minority shareholders should be afforded protection and remedies against abusive or oppressive conduct.</w:t>
            </w:r>
          </w:p>
        </w:tc>
        <w:tc>
          <w:tcPr>
            <w:tcW w:w="1170" w:type="dxa"/>
            <w:vAlign w:val="center"/>
          </w:tcPr>
          <w:p w:rsidR="00631615" w:rsidRDefault="00631615">
            <w:pPr>
              <w:jc w:val="center"/>
              <w:rPr>
                <w:rFonts w:ascii="Calibri" w:hAnsi="Calibri"/>
                <w:sz w:val="20"/>
                <w:szCs w:val="20"/>
              </w:rPr>
            </w:pPr>
            <w:r>
              <w:rPr>
                <w:rFonts w:ascii="Calibri" w:hAnsi="Calibri"/>
                <w:sz w:val="20"/>
                <w:szCs w:val="20"/>
              </w:rPr>
              <w:t>Y</w:t>
            </w:r>
          </w:p>
        </w:tc>
        <w:tc>
          <w:tcPr>
            <w:tcW w:w="4320" w:type="dxa"/>
          </w:tcPr>
          <w:p w:rsidR="00631615" w:rsidRDefault="00612C42" w:rsidP="00A80F92">
            <w:pPr>
              <w:rPr>
                <w:b/>
                <w:sz w:val="20"/>
                <w:szCs w:val="20"/>
              </w:rPr>
            </w:pPr>
            <w:r>
              <w:rPr>
                <w:b/>
                <w:sz w:val="20"/>
                <w:szCs w:val="20"/>
              </w:rPr>
              <w:t xml:space="preserve">It is mandated under the </w:t>
            </w:r>
            <w:hyperlink r:id="rId16" w:history="1">
              <w:r w:rsidR="00A80F92" w:rsidRPr="00B4283C">
                <w:rPr>
                  <w:rStyle w:val="Hyperlink"/>
                  <w:b/>
                  <w:sz w:val="20"/>
                  <w:szCs w:val="20"/>
                </w:rPr>
                <w:t xml:space="preserve">Section D of the Company’s Code of </w:t>
              </w:r>
              <w:r w:rsidR="00F40B8B" w:rsidRPr="00B4283C">
                <w:rPr>
                  <w:rStyle w:val="Hyperlink"/>
                  <w:b/>
                  <w:sz w:val="20"/>
                  <w:szCs w:val="20"/>
                </w:rPr>
                <w:t xml:space="preserve">Business </w:t>
              </w:r>
              <w:r w:rsidR="00A80F92" w:rsidRPr="00B4283C">
                <w:rPr>
                  <w:rStyle w:val="Hyperlink"/>
                  <w:b/>
                  <w:sz w:val="20"/>
                  <w:szCs w:val="20"/>
                </w:rPr>
                <w:t>Conduct and Ethics</w:t>
              </w:r>
            </w:hyperlink>
            <w:r w:rsidR="00A80F92">
              <w:rPr>
                <w:b/>
                <w:sz w:val="20"/>
                <w:szCs w:val="20"/>
              </w:rPr>
              <w:t xml:space="preserve"> that shareholders, employees and directors are prohibited to pass along the inside information to anyone or share this information with someone who might trade in securities.</w:t>
            </w:r>
          </w:p>
          <w:p w:rsidR="00A80F92" w:rsidRDefault="00A80F92" w:rsidP="00B4283C">
            <w:pPr>
              <w:rPr>
                <w:b/>
                <w:sz w:val="20"/>
                <w:szCs w:val="20"/>
              </w:rPr>
            </w:pPr>
          </w:p>
        </w:tc>
      </w:tr>
      <w:tr w:rsidR="00631615" w:rsidTr="00E12229">
        <w:tc>
          <w:tcPr>
            <w:tcW w:w="1087" w:type="dxa"/>
          </w:tcPr>
          <w:p w:rsidR="00631615" w:rsidRDefault="00631615">
            <w:pPr>
              <w:rPr>
                <w:rFonts w:ascii="Calibri" w:hAnsi="Calibri"/>
                <w:sz w:val="20"/>
                <w:szCs w:val="20"/>
              </w:rPr>
            </w:pPr>
            <w:r>
              <w:rPr>
                <w:rFonts w:ascii="Calibri" w:hAnsi="Calibri"/>
                <w:sz w:val="20"/>
                <w:szCs w:val="20"/>
              </w:rPr>
              <w:t>B.3.2</w:t>
            </w:r>
          </w:p>
        </w:tc>
        <w:tc>
          <w:tcPr>
            <w:tcW w:w="4770" w:type="dxa"/>
          </w:tcPr>
          <w:p w:rsidR="00631615" w:rsidRDefault="00631615">
            <w:pPr>
              <w:rPr>
                <w:rFonts w:ascii="Calibri" w:hAnsi="Calibri"/>
                <w:sz w:val="20"/>
                <w:szCs w:val="20"/>
              </w:rPr>
            </w:pPr>
            <w:r w:rsidRPr="00E415FD">
              <w:rPr>
                <w:rFonts w:ascii="Calibri" w:hAnsi="Calibri"/>
                <w:sz w:val="20"/>
                <w:szCs w:val="20"/>
              </w:rPr>
              <w:t>Are the directors / commissioners required to report their dealings in company shares within 3 business days?</w:t>
            </w:r>
          </w:p>
        </w:tc>
        <w:tc>
          <w:tcPr>
            <w:tcW w:w="4050" w:type="dxa"/>
            <w:vMerge/>
            <w:vAlign w:val="center"/>
          </w:tcPr>
          <w:p w:rsidR="00631615" w:rsidRDefault="00631615">
            <w:pPr>
              <w:rPr>
                <w:rFonts w:ascii="Calibri" w:hAnsi="Calibri"/>
                <w:sz w:val="20"/>
                <w:szCs w:val="20"/>
              </w:rPr>
            </w:pPr>
          </w:p>
        </w:tc>
        <w:tc>
          <w:tcPr>
            <w:tcW w:w="1170" w:type="dxa"/>
            <w:vAlign w:val="center"/>
          </w:tcPr>
          <w:p w:rsidR="00631615" w:rsidRDefault="00631615">
            <w:pPr>
              <w:jc w:val="center"/>
              <w:rPr>
                <w:rFonts w:ascii="Calibri" w:hAnsi="Calibri"/>
                <w:sz w:val="20"/>
                <w:szCs w:val="20"/>
              </w:rPr>
            </w:pPr>
          </w:p>
        </w:tc>
        <w:tc>
          <w:tcPr>
            <w:tcW w:w="4320" w:type="dxa"/>
          </w:tcPr>
          <w:p w:rsidR="00631615" w:rsidRDefault="0082208A" w:rsidP="00E415FD">
            <w:pPr>
              <w:rPr>
                <w:b/>
                <w:sz w:val="20"/>
                <w:szCs w:val="20"/>
              </w:rPr>
            </w:pPr>
            <w:r>
              <w:rPr>
                <w:b/>
                <w:sz w:val="20"/>
                <w:szCs w:val="20"/>
              </w:rPr>
              <w:t xml:space="preserve">It is not clearly stated </w:t>
            </w:r>
            <w:r w:rsidR="00E415FD">
              <w:rPr>
                <w:b/>
                <w:sz w:val="20"/>
                <w:szCs w:val="20"/>
              </w:rPr>
              <w:t xml:space="preserve">on any policies and procedures </w:t>
            </w:r>
            <w:r w:rsidR="005F6F32">
              <w:rPr>
                <w:b/>
                <w:sz w:val="20"/>
                <w:szCs w:val="20"/>
              </w:rPr>
              <w:t xml:space="preserve">of the company </w:t>
            </w:r>
            <w:r w:rsidR="00E415FD">
              <w:rPr>
                <w:b/>
                <w:sz w:val="20"/>
                <w:szCs w:val="20"/>
              </w:rPr>
              <w:t>that directors/commissioners are required to report their dealings in company shares within 3 business day</w:t>
            </w:r>
            <w:r w:rsidR="005F6F32">
              <w:rPr>
                <w:b/>
                <w:sz w:val="20"/>
                <w:szCs w:val="20"/>
              </w:rPr>
              <w:t xml:space="preserve">s. But rather, it mandates </w:t>
            </w:r>
            <w:r>
              <w:rPr>
                <w:b/>
                <w:sz w:val="20"/>
                <w:szCs w:val="20"/>
              </w:rPr>
              <w:t xml:space="preserve">the shareholders </w:t>
            </w:r>
            <w:r w:rsidR="005F6F32">
              <w:rPr>
                <w:b/>
                <w:sz w:val="20"/>
                <w:szCs w:val="20"/>
              </w:rPr>
              <w:t xml:space="preserve">to avoid any actual </w:t>
            </w:r>
            <w:r>
              <w:rPr>
                <w:b/>
                <w:sz w:val="20"/>
                <w:szCs w:val="20"/>
              </w:rPr>
              <w:t xml:space="preserve">or apparent conflicts of interest between any private interests, unless they have obtained prior approval by the appropriate approving </w:t>
            </w:r>
            <w:r>
              <w:rPr>
                <w:b/>
                <w:sz w:val="20"/>
                <w:szCs w:val="20"/>
              </w:rPr>
              <w:lastRenderedPageBreak/>
              <w:t xml:space="preserve">authorities as designated in applicable policies of the company. </w:t>
            </w:r>
            <w:hyperlink r:id="rId17" w:history="1">
              <w:r w:rsidRPr="00B4283C">
                <w:rPr>
                  <w:rStyle w:val="Hyperlink"/>
                  <w:b/>
                  <w:sz w:val="20"/>
                  <w:szCs w:val="20"/>
                </w:rPr>
                <w:t>(</w:t>
              </w:r>
              <w:r w:rsidR="0051332F" w:rsidRPr="00B4283C">
                <w:rPr>
                  <w:rStyle w:val="Hyperlink"/>
                  <w:b/>
                  <w:sz w:val="20"/>
                  <w:szCs w:val="20"/>
                </w:rPr>
                <w:t>Section C</w:t>
              </w:r>
              <w:r w:rsidR="00AA312C" w:rsidRPr="00B4283C">
                <w:rPr>
                  <w:rStyle w:val="Hyperlink"/>
                  <w:b/>
                  <w:sz w:val="20"/>
                  <w:szCs w:val="20"/>
                </w:rPr>
                <w:t>, paragraph</w:t>
              </w:r>
              <w:r w:rsidR="00CB122C" w:rsidRPr="00B4283C">
                <w:rPr>
                  <w:rStyle w:val="Hyperlink"/>
                  <w:b/>
                  <w:sz w:val="20"/>
                  <w:szCs w:val="20"/>
                </w:rPr>
                <w:t xml:space="preserve"> 1</w:t>
              </w:r>
              <w:r w:rsidR="0051332F" w:rsidRPr="00B4283C">
                <w:rPr>
                  <w:rStyle w:val="Hyperlink"/>
                  <w:b/>
                  <w:sz w:val="20"/>
                  <w:szCs w:val="20"/>
                </w:rPr>
                <w:t>, Code of Business Conduct and Ethics)</w:t>
              </w:r>
            </w:hyperlink>
          </w:p>
          <w:p w:rsidR="0023460F" w:rsidRDefault="0023460F" w:rsidP="00B4283C">
            <w:pPr>
              <w:rPr>
                <w:b/>
                <w:sz w:val="20"/>
                <w:szCs w:val="20"/>
              </w:rPr>
            </w:pPr>
          </w:p>
        </w:tc>
      </w:tr>
      <w:tr w:rsidR="00631615" w:rsidTr="00E12229">
        <w:tc>
          <w:tcPr>
            <w:tcW w:w="15397" w:type="dxa"/>
            <w:gridSpan w:val="5"/>
          </w:tcPr>
          <w:p w:rsidR="00631615" w:rsidRDefault="00631615" w:rsidP="002E0404">
            <w:pPr>
              <w:rPr>
                <w:b/>
                <w:sz w:val="20"/>
                <w:szCs w:val="20"/>
              </w:rPr>
            </w:pPr>
          </w:p>
        </w:tc>
      </w:tr>
      <w:tr w:rsidR="00631615" w:rsidTr="00E12229">
        <w:tc>
          <w:tcPr>
            <w:tcW w:w="15397" w:type="dxa"/>
            <w:gridSpan w:val="5"/>
            <w:shd w:val="clear" w:color="auto" w:fill="FBD4B4" w:themeFill="accent6" w:themeFillTint="66"/>
          </w:tcPr>
          <w:p w:rsidR="00631615" w:rsidRPr="00631615" w:rsidRDefault="00631615" w:rsidP="002E0404">
            <w:pPr>
              <w:rPr>
                <w:b/>
                <w:sz w:val="20"/>
                <w:szCs w:val="20"/>
              </w:rPr>
            </w:pPr>
            <w:r>
              <w:rPr>
                <w:b/>
                <w:sz w:val="20"/>
                <w:szCs w:val="20"/>
              </w:rPr>
              <w:t xml:space="preserve">B.4 </w:t>
            </w:r>
            <w:r>
              <w:rPr>
                <w:rFonts w:ascii="Calibri" w:hAnsi="Calibri"/>
                <w:b/>
                <w:bCs/>
                <w:sz w:val="20"/>
                <w:szCs w:val="20"/>
              </w:rPr>
              <w:t>Related party transactions by directors and key executives.</w:t>
            </w:r>
          </w:p>
        </w:tc>
      </w:tr>
      <w:tr w:rsidR="00631615" w:rsidTr="00E12229">
        <w:tc>
          <w:tcPr>
            <w:tcW w:w="1087" w:type="dxa"/>
          </w:tcPr>
          <w:p w:rsidR="00631615" w:rsidRDefault="00631615">
            <w:pPr>
              <w:rPr>
                <w:rFonts w:ascii="Calibri" w:hAnsi="Calibri"/>
                <w:sz w:val="20"/>
                <w:szCs w:val="20"/>
              </w:rPr>
            </w:pPr>
            <w:r>
              <w:rPr>
                <w:rFonts w:ascii="Calibri" w:hAnsi="Calibri"/>
                <w:sz w:val="20"/>
                <w:szCs w:val="20"/>
              </w:rPr>
              <w:t>B.4.1</w:t>
            </w:r>
          </w:p>
        </w:tc>
        <w:tc>
          <w:tcPr>
            <w:tcW w:w="4770" w:type="dxa"/>
          </w:tcPr>
          <w:p w:rsidR="00631615" w:rsidRDefault="00631615">
            <w:pPr>
              <w:rPr>
                <w:rFonts w:ascii="Calibri" w:hAnsi="Calibri"/>
                <w:sz w:val="20"/>
                <w:szCs w:val="20"/>
              </w:rPr>
            </w:pPr>
            <w:r>
              <w:rPr>
                <w:rFonts w:ascii="Calibri" w:hAnsi="Calibri"/>
                <w:sz w:val="20"/>
                <w:szCs w:val="20"/>
              </w:rPr>
              <w:t>Does the company have a policy requiring directors /</w:t>
            </w:r>
            <w:r w:rsidR="00A83110">
              <w:rPr>
                <w:rFonts w:ascii="Calibri" w:hAnsi="Calibri"/>
                <w:sz w:val="20"/>
                <w:szCs w:val="20"/>
              </w:rPr>
              <w:t>commissioners to</w:t>
            </w:r>
            <w:r>
              <w:rPr>
                <w:rFonts w:ascii="Calibri" w:hAnsi="Calibri"/>
                <w:sz w:val="20"/>
                <w:szCs w:val="20"/>
              </w:rPr>
              <w:t xml:space="preserve"> disclose their interest in transactions and any other conflicts of interest?</w:t>
            </w:r>
          </w:p>
        </w:tc>
        <w:tc>
          <w:tcPr>
            <w:tcW w:w="4050" w:type="dxa"/>
            <w:vMerge w:val="restart"/>
          </w:tcPr>
          <w:p w:rsidR="00631615" w:rsidRDefault="00631615">
            <w:pPr>
              <w:rPr>
                <w:rFonts w:ascii="Calibri" w:hAnsi="Calibri"/>
                <w:sz w:val="20"/>
                <w:szCs w:val="20"/>
              </w:rPr>
            </w:pPr>
            <w:r>
              <w:rPr>
                <w:rFonts w:ascii="Calibri" w:hAnsi="Calibri"/>
                <w:b/>
                <w:bCs/>
                <w:sz w:val="20"/>
                <w:szCs w:val="20"/>
              </w:rPr>
              <w:t xml:space="preserve">OECD Principle III </w:t>
            </w:r>
            <w:r>
              <w:rPr>
                <w:rFonts w:ascii="Calibri" w:hAnsi="Calibri"/>
                <w:sz w:val="20"/>
                <w:szCs w:val="20"/>
              </w:rPr>
              <w:br/>
              <w:t>(C) Members of the board and key executives should be required to disclose to the board whether they, directly, indirectly or on behalf of third parties, have a material interest in any transaction or matter directly affecting the corporation.</w:t>
            </w:r>
            <w:r>
              <w:rPr>
                <w:rFonts w:ascii="Calibri" w:hAnsi="Calibri"/>
                <w:sz w:val="20"/>
                <w:szCs w:val="20"/>
              </w:rPr>
              <w:br/>
            </w:r>
            <w:r>
              <w:rPr>
                <w:rFonts w:ascii="Calibri" w:hAnsi="Calibri"/>
                <w:sz w:val="20"/>
                <w:szCs w:val="20"/>
              </w:rPr>
              <w:br/>
            </w:r>
            <w:r>
              <w:rPr>
                <w:rFonts w:ascii="Calibri" w:hAnsi="Calibri"/>
                <w:b/>
                <w:bCs/>
                <w:sz w:val="20"/>
                <w:szCs w:val="20"/>
              </w:rPr>
              <w:t>ICGN 2.11.1 Related party transactions</w:t>
            </w:r>
            <w:r>
              <w:rPr>
                <w:rFonts w:ascii="Calibri" w:hAnsi="Calibri"/>
                <w:b/>
                <w:bCs/>
                <w:sz w:val="20"/>
                <w:szCs w:val="20"/>
              </w:rPr>
              <w:br/>
            </w:r>
            <w:r>
              <w:rPr>
                <w:rFonts w:ascii="Calibri" w:hAnsi="Calibri"/>
                <w:sz w:val="20"/>
                <w:szCs w:val="20"/>
              </w:rPr>
              <w:t xml:space="preserve">Companies should have a process for reviewing and monitoring any related party transaction. A committee of independent directors should review significant related party transactions to determine whether they are in the best interests of the company and if so to determine what terms are fair. </w:t>
            </w:r>
            <w:r>
              <w:rPr>
                <w:rFonts w:ascii="Calibri" w:hAnsi="Calibri"/>
                <w:sz w:val="20"/>
                <w:szCs w:val="20"/>
              </w:rPr>
              <w:br/>
            </w:r>
            <w:r>
              <w:rPr>
                <w:rFonts w:ascii="Calibri" w:hAnsi="Calibri"/>
                <w:sz w:val="20"/>
                <w:szCs w:val="20"/>
              </w:rPr>
              <w:br/>
            </w:r>
            <w:r>
              <w:rPr>
                <w:rFonts w:ascii="Calibri" w:hAnsi="Calibri"/>
                <w:b/>
                <w:bCs/>
                <w:sz w:val="20"/>
                <w:szCs w:val="20"/>
              </w:rPr>
              <w:t>ICGN 2.11.2 Director conflicts of interest</w:t>
            </w:r>
            <w:r>
              <w:rPr>
                <w:rFonts w:ascii="Calibri" w:hAnsi="Calibri"/>
                <w:sz w:val="20"/>
                <w:szCs w:val="20"/>
              </w:rPr>
              <w:br/>
              <w:t>Companies should have a process for identifying and managing conflicts of interest directors may have. If a director has an interest in a matter under consideration by the board, then the director should not participate in those discussions and the board should follow any further appropriate processes. Individual directors should be conscious of shareholder and public perceptions and seek to avoid situations where there might be an appearance of a conflict of interest.</w:t>
            </w:r>
          </w:p>
        </w:tc>
        <w:tc>
          <w:tcPr>
            <w:tcW w:w="1170" w:type="dxa"/>
            <w:vAlign w:val="center"/>
          </w:tcPr>
          <w:p w:rsidR="00631615" w:rsidRDefault="00631615">
            <w:pPr>
              <w:jc w:val="center"/>
              <w:rPr>
                <w:rFonts w:ascii="Calibri" w:hAnsi="Calibri"/>
                <w:sz w:val="20"/>
                <w:szCs w:val="20"/>
              </w:rPr>
            </w:pPr>
            <w:r>
              <w:rPr>
                <w:rFonts w:ascii="Calibri" w:hAnsi="Calibri"/>
                <w:sz w:val="20"/>
                <w:szCs w:val="20"/>
              </w:rPr>
              <w:t>Y</w:t>
            </w:r>
          </w:p>
        </w:tc>
        <w:tc>
          <w:tcPr>
            <w:tcW w:w="4320" w:type="dxa"/>
          </w:tcPr>
          <w:p w:rsidR="00631615" w:rsidRDefault="00AA312C" w:rsidP="002E0404">
            <w:pPr>
              <w:rPr>
                <w:b/>
                <w:sz w:val="20"/>
                <w:szCs w:val="20"/>
              </w:rPr>
            </w:pPr>
            <w:r>
              <w:rPr>
                <w:b/>
                <w:sz w:val="20"/>
                <w:szCs w:val="20"/>
              </w:rPr>
              <w:t xml:space="preserve">It is stated under the </w:t>
            </w:r>
            <w:hyperlink r:id="rId18" w:history="1">
              <w:r w:rsidRPr="00B4283C">
                <w:rPr>
                  <w:rStyle w:val="Hyperlink"/>
                  <w:b/>
                  <w:sz w:val="20"/>
                  <w:szCs w:val="20"/>
                </w:rPr>
                <w:t>Section C, paragraph 1 of the Code of Business Conduct and Ethics</w:t>
              </w:r>
            </w:hyperlink>
            <w:r>
              <w:rPr>
                <w:b/>
                <w:sz w:val="20"/>
                <w:szCs w:val="20"/>
              </w:rPr>
              <w:t xml:space="preserve"> of the company that any actual or apparent conflict of interest should be disclosed to the Human Resource Department.</w:t>
            </w:r>
          </w:p>
          <w:p w:rsidR="00AA312C" w:rsidRDefault="00AA312C" w:rsidP="002E0404">
            <w:pPr>
              <w:rPr>
                <w:b/>
                <w:sz w:val="20"/>
                <w:szCs w:val="20"/>
              </w:rPr>
            </w:pPr>
          </w:p>
        </w:tc>
      </w:tr>
      <w:tr w:rsidR="00631615" w:rsidTr="00E12229">
        <w:tc>
          <w:tcPr>
            <w:tcW w:w="1087" w:type="dxa"/>
          </w:tcPr>
          <w:p w:rsidR="00631615" w:rsidRDefault="00631615">
            <w:pPr>
              <w:rPr>
                <w:rFonts w:ascii="Calibri" w:hAnsi="Calibri"/>
                <w:sz w:val="20"/>
                <w:szCs w:val="20"/>
              </w:rPr>
            </w:pPr>
            <w:r>
              <w:rPr>
                <w:rFonts w:ascii="Calibri" w:hAnsi="Calibri"/>
                <w:sz w:val="20"/>
                <w:szCs w:val="20"/>
              </w:rPr>
              <w:t>B.4.2</w:t>
            </w:r>
          </w:p>
        </w:tc>
        <w:tc>
          <w:tcPr>
            <w:tcW w:w="4770" w:type="dxa"/>
          </w:tcPr>
          <w:p w:rsidR="00631615" w:rsidRDefault="00631615">
            <w:pPr>
              <w:rPr>
                <w:rFonts w:ascii="Calibri" w:hAnsi="Calibri"/>
                <w:sz w:val="20"/>
                <w:szCs w:val="20"/>
              </w:rPr>
            </w:pPr>
            <w:r>
              <w:rPr>
                <w:rFonts w:ascii="Calibri" w:hAnsi="Calibri"/>
                <w:sz w:val="20"/>
                <w:szCs w:val="20"/>
              </w:rPr>
              <w:t>Does the company have a policy requiring a committee of independent directors/commissioners to review material/significant RPTs to determine whether they are in the best interests of the company and shareholders?</w:t>
            </w:r>
          </w:p>
        </w:tc>
        <w:tc>
          <w:tcPr>
            <w:tcW w:w="4050" w:type="dxa"/>
            <w:vMerge/>
            <w:vAlign w:val="center"/>
          </w:tcPr>
          <w:p w:rsidR="00631615" w:rsidRDefault="00631615">
            <w:pPr>
              <w:rPr>
                <w:rFonts w:ascii="Calibri" w:hAnsi="Calibri"/>
                <w:sz w:val="20"/>
                <w:szCs w:val="20"/>
              </w:rPr>
            </w:pPr>
          </w:p>
        </w:tc>
        <w:tc>
          <w:tcPr>
            <w:tcW w:w="1170" w:type="dxa"/>
            <w:vAlign w:val="center"/>
          </w:tcPr>
          <w:p w:rsidR="00631615" w:rsidRDefault="003205DD">
            <w:pPr>
              <w:jc w:val="center"/>
              <w:rPr>
                <w:rFonts w:ascii="Calibri" w:hAnsi="Calibri"/>
                <w:sz w:val="20"/>
                <w:szCs w:val="20"/>
              </w:rPr>
            </w:pPr>
            <w:r>
              <w:rPr>
                <w:rFonts w:ascii="Calibri" w:hAnsi="Calibri"/>
                <w:sz w:val="20"/>
                <w:szCs w:val="20"/>
              </w:rPr>
              <w:t>Y</w:t>
            </w:r>
          </w:p>
        </w:tc>
        <w:tc>
          <w:tcPr>
            <w:tcW w:w="4320" w:type="dxa"/>
          </w:tcPr>
          <w:p w:rsidR="00631615" w:rsidRDefault="00AF6176" w:rsidP="00342DDF">
            <w:pPr>
              <w:rPr>
                <w:b/>
                <w:sz w:val="20"/>
                <w:szCs w:val="20"/>
              </w:rPr>
            </w:pPr>
            <w:r>
              <w:rPr>
                <w:b/>
                <w:sz w:val="20"/>
                <w:szCs w:val="20"/>
              </w:rPr>
              <w:t xml:space="preserve">Under the company’s </w:t>
            </w:r>
            <w:hyperlink r:id="rId19" w:history="1">
              <w:r w:rsidRPr="00B4283C">
                <w:rPr>
                  <w:rStyle w:val="Hyperlink"/>
                  <w:b/>
                  <w:sz w:val="20"/>
                  <w:szCs w:val="20"/>
                </w:rPr>
                <w:t>Terms of Reference of the Audit Committee (Duties and Responsibilities)</w:t>
              </w:r>
            </w:hyperlink>
            <w:r>
              <w:rPr>
                <w:b/>
                <w:sz w:val="20"/>
                <w:szCs w:val="20"/>
              </w:rPr>
              <w:t xml:space="preserve">, it is hereby mandated that </w:t>
            </w:r>
            <w:r w:rsidR="00250B0A">
              <w:rPr>
                <w:b/>
                <w:sz w:val="20"/>
                <w:szCs w:val="20"/>
              </w:rPr>
              <w:t>the committee shall review and consider any related party transactions that may arise within the Company of Group.</w:t>
            </w:r>
          </w:p>
          <w:p w:rsidR="00250B0A" w:rsidRDefault="00250B0A" w:rsidP="00B4283C">
            <w:pPr>
              <w:rPr>
                <w:b/>
                <w:sz w:val="20"/>
                <w:szCs w:val="20"/>
              </w:rPr>
            </w:pPr>
          </w:p>
        </w:tc>
      </w:tr>
      <w:tr w:rsidR="00631615" w:rsidTr="00E12229">
        <w:tc>
          <w:tcPr>
            <w:tcW w:w="1087" w:type="dxa"/>
          </w:tcPr>
          <w:p w:rsidR="00631615" w:rsidRDefault="00631615">
            <w:pPr>
              <w:rPr>
                <w:rFonts w:ascii="Calibri" w:hAnsi="Calibri"/>
                <w:sz w:val="20"/>
                <w:szCs w:val="20"/>
              </w:rPr>
            </w:pPr>
            <w:r>
              <w:rPr>
                <w:rFonts w:ascii="Calibri" w:hAnsi="Calibri"/>
                <w:sz w:val="20"/>
                <w:szCs w:val="20"/>
              </w:rPr>
              <w:t>B.4.3</w:t>
            </w:r>
          </w:p>
        </w:tc>
        <w:tc>
          <w:tcPr>
            <w:tcW w:w="4770" w:type="dxa"/>
          </w:tcPr>
          <w:p w:rsidR="00631615" w:rsidRDefault="00631615">
            <w:pPr>
              <w:rPr>
                <w:rFonts w:ascii="Calibri" w:hAnsi="Calibri"/>
                <w:sz w:val="20"/>
                <w:szCs w:val="20"/>
              </w:rPr>
            </w:pPr>
            <w:r>
              <w:rPr>
                <w:rFonts w:ascii="Calibri" w:hAnsi="Calibri"/>
                <w:sz w:val="20"/>
                <w:szCs w:val="20"/>
              </w:rPr>
              <w:t>Does the company have a policy requiring board members (directors/commissioners) to abstain from participating in the board discussion on a particular agenda when they are conflicted?</w:t>
            </w:r>
          </w:p>
        </w:tc>
        <w:tc>
          <w:tcPr>
            <w:tcW w:w="4050" w:type="dxa"/>
            <w:vMerge/>
            <w:vAlign w:val="center"/>
          </w:tcPr>
          <w:p w:rsidR="00631615" w:rsidRDefault="00631615">
            <w:pPr>
              <w:rPr>
                <w:rFonts w:ascii="Calibri" w:hAnsi="Calibri"/>
                <w:sz w:val="20"/>
                <w:szCs w:val="20"/>
              </w:rPr>
            </w:pPr>
          </w:p>
        </w:tc>
        <w:tc>
          <w:tcPr>
            <w:tcW w:w="1170" w:type="dxa"/>
            <w:vAlign w:val="center"/>
          </w:tcPr>
          <w:p w:rsidR="00631615" w:rsidRDefault="00631615">
            <w:pPr>
              <w:jc w:val="center"/>
              <w:rPr>
                <w:rFonts w:ascii="Calibri" w:hAnsi="Calibri"/>
                <w:sz w:val="20"/>
                <w:szCs w:val="20"/>
              </w:rPr>
            </w:pPr>
            <w:r>
              <w:rPr>
                <w:rFonts w:ascii="Calibri" w:hAnsi="Calibri"/>
                <w:sz w:val="20"/>
                <w:szCs w:val="20"/>
              </w:rPr>
              <w:t>Y</w:t>
            </w:r>
          </w:p>
        </w:tc>
        <w:tc>
          <w:tcPr>
            <w:tcW w:w="4320" w:type="dxa"/>
          </w:tcPr>
          <w:p w:rsidR="00631615" w:rsidRDefault="00231C32" w:rsidP="00231C32">
            <w:pPr>
              <w:rPr>
                <w:b/>
                <w:sz w:val="20"/>
                <w:szCs w:val="20"/>
              </w:rPr>
            </w:pPr>
            <w:r>
              <w:rPr>
                <w:b/>
                <w:sz w:val="20"/>
                <w:szCs w:val="20"/>
              </w:rPr>
              <w:t xml:space="preserve">All </w:t>
            </w:r>
            <w:r w:rsidR="005C018F">
              <w:rPr>
                <w:b/>
                <w:sz w:val="20"/>
                <w:szCs w:val="20"/>
              </w:rPr>
              <w:t xml:space="preserve">members </w:t>
            </w:r>
            <w:r>
              <w:rPr>
                <w:b/>
                <w:sz w:val="20"/>
                <w:szCs w:val="20"/>
              </w:rPr>
              <w:t>should disclose any potential conflict of interest w</w:t>
            </w:r>
            <w:r w:rsidR="00724589">
              <w:rPr>
                <w:b/>
                <w:sz w:val="20"/>
                <w:szCs w:val="20"/>
              </w:rPr>
              <w:t xml:space="preserve">hich may result to his/her own personal </w:t>
            </w:r>
            <w:r>
              <w:rPr>
                <w:b/>
                <w:sz w:val="20"/>
                <w:szCs w:val="20"/>
              </w:rPr>
              <w:t>benefit/ advantage and therefore should not participate in the decision-making process.</w:t>
            </w:r>
            <w:r w:rsidR="005C018F">
              <w:rPr>
                <w:b/>
                <w:sz w:val="20"/>
                <w:szCs w:val="20"/>
              </w:rPr>
              <w:t xml:space="preserve"> </w:t>
            </w:r>
            <w:hyperlink r:id="rId20" w:history="1">
              <w:r w:rsidR="005C018F" w:rsidRPr="00B4283C">
                <w:rPr>
                  <w:rStyle w:val="Hyperlink"/>
                  <w:b/>
                  <w:sz w:val="20"/>
                  <w:szCs w:val="20"/>
                </w:rPr>
                <w:t xml:space="preserve">(Art. 4, </w:t>
              </w:r>
              <w:r w:rsidR="0060530C" w:rsidRPr="00B4283C">
                <w:rPr>
                  <w:rStyle w:val="Hyperlink"/>
                  <w:b/>
                  <w:sz w:val="20"/>
                  <w:szCs w:val="20"/>
                </w:rPr>
                <w:t xml:space="preserve">6, </w:t>
              </w:r>
              <w:r w:rsidR="005C018F" w:rsidRPr="00B4283C">
                <w:rPr>
                  <w:rStyle w:val="Hyperlink"/>
                  <w:b/>
                  <w:sz w:val="20"/>
                  <w:szCs w:val="20"/>
                </w:rPr>
                <w:t xml:space="preserve">E, </w:t>
              </w:r>
              <w:r w:rsidR="0060530C" w:rsidRPr="00B4283C">
                <w:rPr>
                  <w:rStyle w:val="Hyperlink"/>
                  <w:b/>
                  <w:sz w:val="20"/>
                  <w:szCs w:val="20"/>
                </w:rPr>
                <w:t>i</w:t>
              </w:r>
              <w:r w:rsidR="005C018F" w:rsidRPr="00B4283C">
                <w:rPr>
                  <w:rStyle w:val="Hyperlink"/>
                  <w:b/>
                  <w:sz w:val="20"/>
                  <w:szCs w:val="20"/>
                </w:rPr>
                <w:t xml:space="preserve"> of the Manual on Corporate Governance)</w:t>
              </w:r>
            </w:hyperlink>
          </w:p>
          <w:p w:rsidR="00231C32" w:rsidRDefault="00231C32" w:rsidP="00231C32">
            <w:pPr>
              <w:rPr>
                <w:b/>
                <w:sz w:val="20"/>
                <w:szCs w:val="20"/>
              </w:rPr>
            </w:pPr>
          </w:p>
        </w:tc>
      </w:tr>
      <w:tr w:rsidR="00631615" w:rsidTr="00E12229">
        <w:tc>
          <w:tcPr>
            <w:tcW w:w="1087" w:type="dxa"/>
          </w:tcPr>
          <w:p w:rsidR="00631615" w:rsidRDefault="00631615">
            <w:pPr>
              <w:rPr>
                <w:rFonts w:ascii="Calibri" w:hAnsi="Calibri"/>
                <w:sz w:val="20"/>
                <w:szCs w:val="20"/>
              </w:rPr>
            </w:pPr>
            <w:r>
              <w:rPr>
                <w:rFonts w:ascii="Calibri" w:hAnsi="Calibri"/>
                <w:sz w:val="20"/>
                <w:szCs w:val="20"/>
              </w:rPr>
              <w:t>B.4.4</w:t>
            </w:r>
          </w:p>
        </w:tc>
        <w:tc>
          <w:tcPr>
            <w:tcW w:w="4770" w:type="dxa"/>
          </w:tcPr>
          <w:p w:rsidR="00631615" w:rsidRDefault="00631615">
            <w:pPr>
              <w:rPr>
                <w:rFonts w:ascii="Calibri" w:hAnsi="Calibri"/>
                <w:sz w:val="20"/>
                <w:szCs w:val="20"/>
              </w:rPr>
            </w:pPr>
            <w:r>
              <w:rPr>
                <w:rFonts w:ascii="Calibri" w:hAnsi="Calibri"/>
                <w:sz w:val="20"/>
                <w:szCs w:val="20"/>
              </w:rPr>
              <w:t>Does the company have policies on loans to directors and commissioners either forbidding this practice or ensuring that they are being conducted at arm's length basis and at market rates?</w:t>
            </w:r>
          </w:p>
        </w:tc>
        <w:tc>
          <w:tcPr>
            <w:tcW w:w="4050" w:type="dxa"/>
            <w:vMerge/>
            <w:vAlign w:val="center"/>
          </w:tcPr>
          <w:p w:rsidR="00631615" w:rsidRDefault="00631615">
            <w:pPr>
              <w:rPr>
                <w:rFonts w:ascii="Calibri" w:hAnsi="Calibri"/>
                <w:sz w:val="20"/>
                <w:szCs w:val="20"/>
              </w:rPr>
            </w:pPr>
          </w:p>
        </w:tc>
        <w:tc>
          <w:tcPr>
            <w:tcW w:w="1170" w:type="dxa"/>
            <w:vAlign w:val="center"/>
          </w:tcPr>
          <w:p w:rsidR="00631615" w:rsidRDefault="00631615">
            <w:pPr>
              <w:jc w:val="center"/>
              <w:rPr>
                <w:rFonts w:ascii="Calibri" w:hAnsi="Calibri"/>
                <w:sz w:val="20"/>
                <w:szCs w:val="20"/>
              </w:rPr>
            </w:pPr>
            <w:r>
              <w:rPr>
                <w:rFonts w:ascii="Calibri" w:hAnsi="Calibri"/>
                <w:sz w:val="20"/>
                <w:szCs w:val="20"/>
              </w:rPr>
              <w:t>Y</w:t>
            </w:r>
          </w:p>
        </w:tc>
        <w:tc>
          <w:tcPr>
            <w:tcW w:w="4320" w:type="dxa"/>
          </w:tcPr>
          <w:p w:rsidR="00724589" w:rsidRDefault="00724589" w:rsidP="002E0404">
            <w:pPr>
              <w:rPr>
                <w:b/>
                <w:sz w:val="20"/>
                <w:szCs w:val="20"/>
              </w:rPr>
            </w:pPr>
            <w:r>
              <w:rPr>
                <w:b/>
                <w:sz w:val="20"/>
                <w:szCs w:val="20"/>
              </w:rPr>
              <w:t>It is stated under the Manual on Corporate Governance of the company that directors are prohibited to grant loans to anyone.</w:t>
            </w:r>
            <w:r w:rsidR="002E0404">
              <w:rPr>
                <w:b/>
                <w:sz w:val="20"/>
                <w:szCs w:val="20"/>
              </w:rPr>
              <w:t xml:space="preserve"> </w:t>
            </w:r>
            <w:hyperlink r:id="rId21" w:history="1">
              <w:r w:rsidR="002E0404" w:rsidRPr="00B4283C">
                <w:rPr>
                  <w:rStyle w:val="Hyperlink"/>
                  <w:b/>
                  <w:sz w:val="20"/>
                  <w:szCs w:val="20"/>
                </w:rPr>
                <w:t xml:space="preserve">(Art. 4, </w:t>
              </w:r>
              <w:r w:rsidR="0060530C" w:rsidRPr="00B4283C">
                <w:rPr>
                  <w:rStyle w:val="Hyperlink"/>
                  <w:b/>
                  <w:sz w:val="20"/>
                  <w:szCs w:val="20"/>
                </w:rPr>
                <w:t xml:space="preserve">6, </w:t>
              </w:r>
              <w:r w:rsidR="002E0404" w:rsidRPr="00B4283C">
                <w:rPr>
                  <w:rStyle w:val="Hyperlink"/>
                  <w:b/>
                  <w:sz w:val="20"/>
                  <w:szCs w:val="20"/>
                </w:rPr>
                <w:t>C</w:t>
              </w:r>
              <w:r w:rsidR="0060530C" w:rsidRPr="00B4283C">
                <w:rPr>
                  <w:rStyle w:val="Hyperlink"/>
                  <w:b/>
                  <w:sz w:val="20"/>
                  <w:szCs w:val="20"/>
                </w:rPr>
                <w:t xml:space="preserve"> of the Manual on Corporate Governance)</w:t>
              </w:r>
            </w:hyperlink>
          </w:p>
          <w:p w:rsidR="00724589" w:rsidRDefault="00724589" w:rsidP="00B4283C">
            <w:pPr>
              <w:rPr>
                <w:b/>
                <w:sz w:val="20"/>
                <w:szCs w:val="20"/>
              </w:rPr>
            </w:pPr>
          </w:p>
        </w:tc>
      </w:tr>
      <w:tr w:rsidR="00631615" w:rsidTr="00E12229">
        <w:tc>
          <w:tcPr>
            <w:tcW w:w="15397" w:type="dxa"/>
            <w:gridSpan w:val="5"/>
          </w:tcPr>
          <w:p w:rsidR="00631615" w:rsidRDefault="00631615" w:rsidP="002E0404">
            <w:pPr>
              <w:rPr>
                <w:b/>
                <w:sz w:val="20"/>
                <w:szCs w:val="20"/>
              </w:rPr>
            </w:pPr>
          </w:p>
        </w:tc>
      </w:tr>
      <w:tr w:rsidR="00631615" w:rsidTr="00E12229">
        <w:tc>
          <w:tcPr>
            <w:tcW w:w="15397" w:type="dxa"/>
            <w:gridSpan w:val="5"/>
            <w:shd w:val="clear" w:color="auto" w:fill="FBD4B4" w:themeFill="accent6" w:themeFillTint="66"/>
          </w:tcPr>
          <w:p w:rsidR="00631615" w:rsidRPr="00631615" w:rsidRDefault="00631615" w:rsidP="002E0404">
            <w:pPr>
              <w:rPr>
                <w:b/>
                <w:sz w:val="20"/>
                <w:szCs w:val="20"/>
              </w:rPr>
            </w:pPr>
            <w:r>
              <w:rPr>
                <w:b/>
                <w:sz w:val="20"/>
                <w:szCs w:val="20"/>
              </w:rPr>
              <w:t xml:space="preserve">B.5 </w:t>
            </w:r>
            <w:r>
              <w:rPr>
                <w:rFonts w:ascii="Calibri" w:hAnsi="Calibri"/>
                <w:b/>
                <w:bCs/>
                <w:sz w:val="20"/>
                <w:szCs w:val="20"/>
              </w:rPr>
              <w:t>Protecting minority shareholders from abusive actions</w:t>
            </w:r>
          </w:p>
        </w:tc>
      </w:tr>
      <w:tr w:rsidR="00631615" w:rsidTr="00E12229">
        <w:tc>
          <w:tcPr>
            <w:tcW w:w="1087" w:type="dxa"/>
          </w:tcPr>
          <w:p w:rsidR="00631615" w:rsidRDefault="00631615">
            <w:pPr>
              <w:rPr>
                <w:rFonts w:ascii="Calibri" w:hAnsi="Calibri"/>
                <w:sz w:val="20"/>
                <w:szCs w:val="20"/>
              </w:rPr>
            </w:pPr>
            <w:r>
              <w:rPr>
                <w:rFonts w:ascii="Calibri" w:hAnsi="Calibri"/>
                <w:sz w:val="20"/>
                <w:szCs w:val="20"/>
              </w:rPr>
              <w:t>B.5.1</w:t>
            </w:r>
          </w:p>
        </w:tc>
        <w:tc>
          <w:tcPr>
            <w:tcW w:w="4770" w:type="dxa"/>
          </w:tcPr>
          <w:p w:rsidR="00631615" w:rsidRDefault="00631615">
            <w:pPr>
              <w:rPr>
                <w:rFonts w:ascii="Calibri" w:hAnsi="Calibri"/>
                <w:sz w:val="20"/>
                <w:szCs w:val="20"/>
              </w:rPr>
            </w:pPr>
            <w:r>
              <w:rPr>
                <w:rFonts w:ascii="Calibri" w:hAnsi="Calibri"/>
                <w:sz w:val="20"/>
                <w:szCs w:val="20"/>
              </w:rPr>
              <w:t>Were there any RPTs that can be classified as financial assistance to entities other than wholly-owned subsidiary companies?</w:t>
            </w:r>
          </w:p>
        </w:tc>
        <w:tc>
          <w:tcPr>
            <w:tcW w:w="4050" w:type="dxa"/>
            <w:vMerge w:val="restart"/>
          </w:tcPr>
          <w:p w:rsidR="00631615" w:rsidRDefault="00631615">
            <w:pPr>
              <w:rPr>
                <w:rFonts w:ascii="Calibri" w:hAnsi="Calibri"/>
                <w:sz w:val="20"/>
                <w:szCs w:val="20"/>
              </w:rPr>
            </w:pPr>
            <w:r>
              <w:rPr>
                <w:rFonts w:ascii="Calibri" w:hAnsi="Calibri"/>
                <w:b/>
                <w:bCs/>
                <w:sz w:val="20"/>
                <w:szCs w:val="20"/>
              </w:rPr>
              <w:t xml:space="preserve">OECD Principle III </w:t>
            </w:r>
            <w:r>
              <w:rPr>
                <w:rFonts w:ascii="Calibri" w:hAnsi="Calibri"/>
                <w:b/>
                <w:bCs/>
                <w:sz w:val="20"/>
                <w:szCs w:val="20"/>
              </w:rPr>
              <w:br/>
              <w:t>(A) All shareholders of the same series of a class should be treated equally.</w:t>
            </w:r>
            <w:r>
              <w:rPr>
                <w:rFonts w:ascii="Calibri" w:hAnsi="Calibri"/>
                <w:sz w:val="20"/>
                <w:szCs w:val="20"/>
              </w:rPr>
              <w:br/>
              <w:t xml:space="preserve">(2) Minority shareholders should be protected </w:t>
            </w:r>
            <w:r>
              <w:rPr>
                <w:rFonts w:ascii="Calibri" w:hAnsi="Calibri"/>
                <w:sz w:val="20"/>
                <w:szCs w:val="20"/>
              </w:rPr>
              <w:lastRenderedPageBreak/>
              <w:t>from abusive actions by, or in the interest of, controlling shareholders acting either directly or indirectly, and should have effective means of redress.</w:t>
            </w:r>
            <w:r>
              <w:rPr>
                <w:rFonts w:ascii="Calibri" w:hAnsi="Calibri"/>
                <w:sz w:val="20"/>
                <w:szCs w:val="20"/>
              </w:rPr>
              <w:br/>
            </w:r>
            <w:r>
              <w:rPr>
                <w:rFonts w:ascii="Calibri" w:hAnsi="Calibri"/>
                <w:sz w:val="20"/>
                <w:szCs w:val="20"/>
              </w:rPr>
              <w:br/>
            </w:r>
            <w:r>
              <w:rPr>
                <w:rFonts w:ascii="Calibri" w:hAnsi="Calibri"/>
                <w:b/>
                <w:bCs/>
                <w:sz w:val="20"/>
                <w:szCs w:val="20"/>
              </w:rPr>
              <w:t>ICGN 2.11.1 Related party transactions</w:t>
            </w:r>
            <w:r>
              <w:rPr>
                <w:rFonts w:ascii="Calibri" w:hAnsi="Calibri"/>
                <w:b/>
                <w:bCs/>
                <w:sz w:val="20"/>
                <w:szCs w:val="20"/>
              </w:rPr>
              <w:br/>
            </w:r>
            <w:r>
              <w:rPr>
                <w:rFonts w:ascii="Calibri" w:hAnsi="Calibri"/>
                <w:sz w:val="20"/>
                <w:szCs w:val="20"/>
              </w:rPr>
              <w:t xml:space="preserve">Companies should have a process for reviewing and monitoring any related party transaction. A committee of independent directors should review significant related party transactions to determine whether they are in the best interests of the company and if so to determine what terms are fair. </w:t>
            </w:r>
            <w:r>
              <w:rPr>
                <w:rFonts w:ascii="Calibri" w:hAnsi="Calibri"/>
                <w:sz w:val="20"/>
                <w:szCs w:val="20"/>
              </w:rPr>
              <w:br/>
            </w:r>
            <w:r>
              <w:rPr>
                <w:rFonts w:ascii="Calibri" w:hAnsi="Calibri"/>
                <w:b/>
                <w:bCs/>
                <w:sz w:val="20"/>
                <w:szCs w:val="20"/>
              </w:rPr>
              <w:br/>
              <w:t>ICGN 2.11.2 Director conflicts of interest</w:t>
            </w:r>
            <w:r>
              <w:rPr>
                <w:rFonts w:ascii="Calibri" w:hAnsi="Calibri"/>
                <w:sz w:val="20"/>
                <w:szCs w:val="20"/>
              </w:rPr>
              <w:br/>
              <w:t>Companies should have a process for identifying and managing conflicts of interest directors may have. If a director has an interest in a matter under consideration by the board, then the director should not participate in those discussions and the board should follow any further appropriate processes. Individual directors should be conscious of shareholder and public perceptions and seek to avoid situations where there might be an appearance of a conflict of interest.</w:t>
            </w:r>
            <w:r>
              <w:rPr>
                <w:rFonts w:ascii="Calibri" w:hAnsi="Calibri"/>
                <w:sz w:val="20"/>
                <w:szCs w:val="20"/>
              </w:rPr>
              <w:br/>
            </w:r>
            <w:r>
              <w:rPr>
                <w:rFonts w:ascii="Calibri" w:hAnsi="Calibri"/>
                <w:sz w:val="20"/>
                <w:szCs w:val="20"/>
              </w:rPr>
              <w:br/>
            </w:r>
            <w:r>
              <w:rPr>
                <w:rFonts w:ascii="Calibri" w:hAnsi="Calibri"/>
                <w:b/>
                <w:bCs/>
                <w:sz w:val="20"/>
                <w:szCs w:val="20"/>
              </w:rPr>
              <w:t>ICGN 8.5</w:t>
            </w:r>
            <w:r>
              <w:rPr>
                <w:rFonts w:ascii="Calibri" w:hAnsi="Calibri"/>
                <w:sz w:val="20"/>
                <w:szCs w:val="20"/>
              </w:rPr>
              <w:t xml:space="preserve"> </w:t>
            </w:r>
            <w:r>
              <w:rPr>
                <w:rFonts w:ascii="Calibri" w:hAnsi="Calibri"/>
                <w:b/>
                <w:bCs/>
                <w:sz w:val="20"/>
                <w:szCs w:val="20"/>
              </w:rPr>
              <w:t>Shareholder rights of action</w:t>
            </w:r>
            <w:r>
              <w:rPr>
                <w:rFonts w:ascii="Calibri" w:hAnsi="Calibri"/>
                <w:b/>
                <w:bCs/>
                <w:sz w:val="20"/>
                <w:szCs w:val="20"/>
              </w:rPr>
              <w:br/>
            </w:r>
            <w:r>
              <w:rPr>
                <w:rFonts w:ascii="Calibri" w:hAnsi="Calibri"/>
                <w:sz w:val="20"/>
                <w:szCs w:val="20"/>
              </w:rPr>
              <w:t>Shareholders should be afforded rights of action and remedies which are readily accessible in order to redress conduct of company which treats them inequitably. Minority shareholders should be afforded protection and remedies against abusive or oppressive conduct.</w:t>
            </w:r>
          </w:p>
        </w:tc>
        <w:tc>
          <w:tcPr>
            <w:tcW w:w="1170" w:type="dxa"/>
            <w:vAlign w:val="center"/>
          </w:tcPr>
          <w:p w:rsidR="00631615" w:rsidRDefault="00263088">
            <w:pPr>
              <w:jc w:val="center"/>
              <w:rPr>
                <w:rFonts w:ascii="Calibri" w:hAnsi="Calibri"/>
                <w:sz w:val="20"/>
                <w:szCs w:val="20"/>
              </w:rPr>
            </w:pPr>
            <w:r>
              <w:rPr>
                <w:rFonts w:ascii="Calibri" w:hAnsi="Calibri"/>
                <w:sz w:val="20"/>
                <w:szCs w:val="20"/>
              </w:rPr>
              <w:lastRenderedPageBreak/>
              <w:t>N</w:t>
            </w:r>
          </w:p>
        </w:tc>
        <w:tc>
          <w:tcPr>
            <w:tcW w:w="4320" w:type="dxa"/>
          </w:tcPr>
          <w:p w:rsidR="00631615" w:rsidRDefault="00263088" w:rsidP="002E0404">
            <w:pPr>
              <w:rPr>
                <w:b/>
                <w:sz w:val="20"/>
                <w:szCs w:val="20"/>
              </w:rPr>
            </w:pPr>
            <w:r>
              <w:rPr>
                <w:b/>
                <w:sz w:val="20"/>
                <w:szCs w:val="20"/>
              </w:rPr>
              <w:t>There were no RPTs that can be classified as financial assistance to entities.</w:t>
            </w:r>
          </w:p>
        </w:tc>
      </w:tr>
      <w:tr w:rsidR="00631615" w:rsidTr="00B4283C">
        <w:tc>
          <w:tcPr>
            <w:tcW w:w="1087" w:type="dxa"/>
          </w:tcPr>
          <w:p w:rsidR="00631615" w:rsidRDefault="00631615">
            <w:pPr>
              <w:rPr>
                <w:rFonts w:ascii="Calibri" w:hAnsi="Calibri"/>
                <w:sz w:val="20"/>
                <w:szCs w:val="20"/>
              </w:rPr>
            </w:pPr>
            <w:r>
              <w:rPr>
                <w:rFonts w:ascii="Calibri" w:hAnsi="Calibri"/>
                <w:sz w:val="20"/>
                <w:szCs w:val="20"/>
              </w:rPr>
              <w:t>B.5.2</w:t>
            </w:r>
          </w:p>
        </w:tc>
        <w:tc>
          <w:tcPr>
            <w:tcW w:w="4770" w:type="dxa"/>
          </w:tcPr>
          <w:p w:rsidR="00631615" w:rsidRDefault="00631615">
            <w:pPr>
              <w:rPr>
                <w:rFonts w:ascii="Calibri" w:hAnsi="Calibri"/>
                <w:sz w:val="20"/>
                <w:szCs w:val="20"/>
              </w:rPr>
            </w:pPr>
            <w:r>
              <w:rPr>
                <w:rFonts w:ascii="Calibri" w:hAnsi="Calibri"/>
                <w:sz w:val="20"/>
                <w:szCs w:val="20"/>
              </w:rPr>
              <w:t xml:space="preserve">Does the company disclose that RPTs are conducted in </w:t>
            </w:r>
            <w:r>
              <w:rPr>
                <w:rFonts w:ascii="Calibri" w:hAnsi="Calibri"/>
                <w:sz w:val="20"/>
                <w:szCs w:val="20"/>
              </w:rPr>
              <w:lastRenderedPageBreak/>
              <w:t>such a way to ensure that they are fair and at arms' length?</w:t>
            </w:r>
          </w:p>
        </w:tc>
        <w:tc>
          <w:tcPr>
            <w:tcW w:w="4050" w:type="dxa"/>
            <w:vMerge/>
            <w:vAlign w:val="center"/>
          </w:tcPr>
          <w:p w:rsidR="00631615" w:rsidRDefault="00631615">
            <w:pPr>
              <w:rPr>
                <w:rFonts w:ascii="Calibri" w:hAnsi="Calibri"/>
                <w:sz w:val="20"/>
                <w:szCs w:val="20"/>
              </w:rPr>
            </w:pPr>
          </w:p>
        </w:tc>
        <w:tc>
          <w:tcPr>
            <w:tcW w:w="1170" w:type="dxa"/>
            <w:vAlign w:val="center"/>
          </w:tcPr>
          <w:p w:rsidR="00631615" w:rsidRDefault="009A6A98">
            <w:pPr>
              <w:jc w:val="center"/>
              <w:rPr>
                <w:rFonts w:ascii="Calibri" w:hAnsi="Calibri"/>
                <w:sz w:val="20"/>
                <w:szCs w:val="20"/>
              </w:rPr>
            </w:pPr>
            <w:r>
              <w:rPr>
                <w:rFonts w:ascii="Calibri" w:hAnsi="Calibri"/>
                <w:sz w:val="20"/>
                <w:szCs w:val="20"/>
              </w:rPr>
              <w:t>N/A</w:t>
            </w:r>
          </w:p>
        </w:tc>
        <w:tc>
          <w:tcPr>
            <w:tcW w:w="4320" w:type="dxa"/>
            <w:vAlign w:val="center"/>
          </w:tcPr>
          <w:p w:rsidR="00631615" w:rsidRDefault="00504072" w:rsidP="00B4283C">
            <w:pPr>
              <w:rPr>
                <w:b/>
                <w:sz w:val="20"/>
                <w:szCs w:val="20"/>
              </w:rPr>
            </w:pPr>
            <w:r>
              <w:rPr>
                <w:b/>
                <w:sz w:val="20"/>
                <w:szCs w:val="20"/>
              </w:rPr>
              <w:t>N/A</w:t>
            </w:r>
          </w:p>
        </w:tc>
      </w:tr>
    </w:tbl>
    <w:p w:rsidR="007D79CE" w:rsidRDefault="007D79CE">
      <w:pPr>
        <w:rPr>
          <w:b/>
          <w:sz w:val="20"/>
          <w:szCs w:val="20"/>
        </w:rPr>
      </w:pPr>
    </w:p>
    <w:p w:rsidR="00CC4AC9" w:rsidRDefault="00CC4AC9">
      <w:pPr>
        <w:rPr>
          <w:b/>
          <w:sz w:val="20"/>
          <w:szCs w:val="20"/>
        </w:rPr>
      </w:pPr>
    </w:p>
    <w:p w:rsidR="00CC4AC9" w:rsidRDefault="00CC4AC9">
      <w:pPr>
        <w:rPr>
          <w:b/>
          <w:sz w:val="20"/>
          <w:szCs w:val="20"/>
        </w:rPr>
      </w:pPr>
    </w:p>
    <w:sectPr w:rsidR="00CC4AC9" w:rsidSect="00652A1A">
      <w:headerReference w:type="default" r:id="rId22"/>
      <w:type w:val="continuous"/>
      <w:pgSz w:w="16839"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9EF" w:rsidRDefault="00D869EF" w:rsidP="004E1600">
      <w:pPr>
        <w:spacing w:after="0" w:line="240" w:lineRule="auto"/>
      </w:pPr>
      <w:r>
        <w:separator/>
      </w:r>
    </w:p>
  </w:endnote>
  <w:endnote w:type="continuationSeparator" w:id="1">
    <w:p w:rsidR="00D869EF" w:rsidRDefault="00D869EF" w:rsidP="004E1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9EF" w:rsidRDefault="00D869EF" w:rsidP="004E1600">
      <w:pPr>
        <w:spacing w:after="0" w:line="240" w:lineRule="auto"/>
      </w:pPr>
      <w:r>
        <w:separator/>
      </w:r>
    </w:p>
  </w:footnote>
  <w:footnote w:type="continuationSeparator" w:id="1">
    <w:p w:rsidR="00D869EF" w:rsidRDefault="00D869EF" w:rsidP="004E1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A1" w:rsidRDefault="00917D36">
    <w:pPr>
      <w:pStyle w:val="Header"/>
    </w:pPr>
    <w:r>
      <w:rPr>
        <w:noProof/>
      </w:rPr>
      <w:pict>
        <v:rect id="_x0000_s2051" style="position:absolute;margin-left:165pt;margin-top:-9pt;width:605pt;height:18pt;z-index:251659264" fillcolor="black [3200]" stroked="f" strokecolor="#f2f2f2 [3041]" strokeweight="3pt">
          <v:fill color2="fill lighten(51)" focusposition="1" focussize="" method="linear sigma" type="gradient"/>
          <v:shadow on="t" type="perspective" color="#7f7f7f [1601]" opacity=".5" offset="1pt" offset2="-1pt"/>
          <v:textbox style="mso-next-textbox:#_x0000_s2051">
            <w:txbxContent>
              <w:p w:rsidR="004452A1" w:rsidRPr="002043DA" w:rsidRDefault="004452A1" w:rsidP="002043DA">
                <w:pPr>
                  <w:jc w:val="center"/>
                  <w:rPr>
                    <w:b/>
                    <w:sz w:val="20"/>
                  </w:rPr>
                </w:pPr>
                <w:r>
                  <w:rPr>
                    <w:b/>
                    <w:sz w:val="20"/>
                  </w:rPr>
                  <w:t>ASEAN Corporate Governance Scorecard 2014 – Self Assessment</w:t>
                </w:r>
              </w:p>
            </w:txbxContent>
          </v:textbox>
        </v:rect>
      </w:pict>
    </w:r>
    <w:r>
      <w:rPr>
        <w:noProof/>
      </w:rPr>
      <w:pict>
        <v:rect id="_x0000_s2050" style="position:absolute;margin-left:-5.5pt;margin-top:-9pt;width:170.5pt;height:18pt;z-index:251658240" fillcolor="#ffc000">
          <v:fill color2="fill lighten(51)" focusposition="1" focussize="" method="linear sigma" focus="100%" type="gradient"/>
          <v:textbox style="mso-next-textbox:#_x0000_s2050">
            <w:txbxContent>
              <w:p w:rsidR="004452A1" w:rsidRPr="002043DA" w:rsidRDefault="004452A1" w:rsidP="002043DA">
                <w:pPr>
                  <w:jc w:val="center"/>
                  <w:rPr>
                    <w:b/>
                    <w:sz w:val="20"/>
                  </w:rPr>
                </w:pPr>
                <w:r w:rsidRPr="002043DA">
                  <w:rPr>
                    <w:b/>
                    <w:sz w:val="20"/>
                  </w:rPr>
                  <w:t>MAA General Assurance Phils., Inc.</w:t>
                </w: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44034">
      <o:colormenu v:ext="edit" fillcolor="#ffc000" strokecolor="none"/>
    </o:shapedefaults>
    <o:shapelayout v:ext="edit">
      <o:idmap v:ext="edit" data="2"/>
    </o:shapelayout>
  </w:hdrShapeDefaults>
  <w:footnotePr>
    <w:footnote w:id="0"/>
    <w:footnote w:id="1"/>
  </w:footnotePr>
  <w:endnotePr>
    <w:endnote w:id="0"/>
    <w:endnote w:id="1"/>
  </w:endnotePr>
  <w:compat/>
  <w:rsids>
    <w:rsidRoot w:val="004E1600"/>
    <w:rsid w:val="0000430F"/>
    <w:rsid w:val="00006840"/>
    <w:rsid w:val="00041BB2"/>
    <w:rsid w:val="00042875"/>
    <w:rsid w:val="0005345F"/>
    <w:rsid w:val="00063F53"/>
    <w:rsid w:val="000800FB"/>
    <w:rsid w:val="0008127B"/>
    <w:rsid w:val="000814AA"/>
    <w:rsid w:val="00081A35"/>
    <w:rsid w:val="00090AAB"/>
    <w:rsid w:val="000D2D0E"/>
    <w:rsid w:val="000D4369"/>
    <w:rsid w:val="000E040F"/>
    <w:rsid w:val="000E15F3"/>
    <w:rsid w:val="0012123B"/>
    <w:rsid w:val="001216EB"/>
    <w:rsid w:val="00121F93"/>
    <w:rsid w:val="001507BB"/>
    <w:rsid w:val="00162526"/>
    <w:rsid w:val="001A0E20"/>
    <w:rsid w:val="001B2954"/>
    <w:rsid w:val="001B4018"/>
    <w:rsid w:val="001C26DF"/>
    <w:rsid w:val="001D0E7E"/>
    <w:rsid w:val="001E2F8B"/>
    <w:rsid w:val="001E4ACB"/>
    <w:rsid w:val="001F1281"/>
    <w:rsid w:val="001F245A"/>
    <w:rsid w:val="002043DA"/>
    <w:rsid w:val="00224305"/>
    <w:rsid w:val="00231C32"/>
    <w:rsid w:val="0023460F"/>
    <w:rsid w:val="00250B0A"/>
    <w:rsid w:val="00256D91"/>
    <w:rsid w:val="002572BA"/>
    <w:rsid w:val="00261F14"/>
    <w:rsid w:val="00263088"/>
    <w:rsid w:val="002711AF"/>
    <w:rsid w:val="00275DF6"/>
    <w:rsid w:val="00286C81"/>
    <w:rsid w:val="002904C8"/>
    <w:rsid w:val="00291830"/>
    <w:rsid w:val="002A48FF"/>
    <w:rsid w:val="002D0809"/>
    <w:rsid w:val="002D5541"/>
    <w:rsid w:val="002D609C"/>
    <w:rsid w:val="002E0404"/>
    <w:rsid w:val="002F394B"/>
    <w:rsid w:val="002F462A"/>
    <w:rsid w:val="003205DD"/>
    <w:rsid w:val="00322F66"/>
    <w:rsid w:val="00337423"/>
    <w:rsid w:val="00340B5F"/>
    <w:rsid w:val="00342DDF"/>
    <w:rsid w:val="00351876"/>
    <w:rsid w:val="003606AE"/>
    <w:rsid w:val="0037022D"/>
    <w:rsid w:val="0038468D"/>
    <w:rsid w:val="003921B0"/>
    <w:rsid w:val="003963DF"/>
    <w:rsid w:val="003A5C05"/>
    <w:rsid w:val="003B0A64"/>
    <w:rsid w:val="003B5688"/>
    <w:rsid w:val="003B7CFB"/>
    <w:rsid w:val="003C2025"/>
    <w:rsid w:val="003C3B22"/>
    <w:rsid w:val="003D722C"/>
    <w:rsid w:val="00401487"/>
    <w:rsid w:val="00406344"/>
    <w:rsid w:val="00415567"/>
    <w:rsid w:val="0042619B"/>
    <w:rsid w:val="00430277"/>
    <w:rsid w:val="00431560"/>
    <w:rsid w:val="0043331C"/>
    <w:rsid w:val="004452A1"/>
    <w:rsid w:val="00447CFF"/>
    <w:rsid w:val="00491C16"/>
    <w:rsid w:val="00492B4B"/>
    <w:rsid w:val="004A32F9"/>
    <w:rsid w:val="004A7239"/>
    <w:rsid w:val="004A7DC0"/>
    <w:rsid w:val="004B17C4"/>
    <w:rsid w:val="004B570F"/>
    <w:rsid w:val="004C51AC"/>
    <w:rsid w:val="004E1600"/>
    <w:rsid w:val="004E7AD0"/>
    <w:rsid w:val="004F10CB"/>
    <w:rsid w:val="004F3932"/>
    <w:rsid w:val="004F3A9D"/>
    <w:rsid w:val="004F539B"/>
    <w:rsid w:val="004F7BD1"/>
    <w:rsid w:val="0050098A"/>
    <w:rsid w:val="00504072"/>
    <w:rsid w:val="0051332F"/>
    <w:rsid w:val="00552772"/>
    <w:rsid w:val="00555D83"/>
    <w:rsid w:val="005622FB"/>
    <w:rsid w:val="005649EE"/>
    <w:rsid w:val="00567712"/>
    <w:rsid w:val="005B62F4"/>
    <w:rsid w:val="005C018F"/>
    <w:rsid w:val="005C3AA3"/>
    <w:rsid w:val="005C5E22"/>
    <w:rsid w:val="005E02D2"/>
    <w:rsid w:val="005F3734"/>
    <w:rsid w:val="005F6F32"/>
    <w:rsid w:val="0060530C"/>
    <w:rsid w:val="00607C43"/>
    <w:rsid w:val="00612C42"/>
    <w:rsid w:val="006313DC"/>
    <w:rsid w:val="00631615"/>
    <w:rsid w:val="00641D98"/>
    <w:rsid w:val="00646031"/>
    <w:rsid w:val="00652A1A"/>
    <w:rsid w:val="00667626"/>
    <w:rsid w:val="00696812"/>
    <w:rsid w:val="006B6B41"/>
    <w:rsid w:val="00701489"/>
    <w:rsid w:val="00701761"/>
    <w:rsid w:val="00701F26"/>
    <w:rsid w:val="00703663"/>
    <w:rsid w:val="00706C79"/>
    <w:rsid w:val="00716BE8"/>
    <w:rsid w:val="007202BF"/>
    <w:rsid w:val="00720917"/>
    <w:rsid w:val="00724589"/>
    <w:rsid w:val="00726F8F"/>
    <w:rsid w:val="00730FBA"/>
    <w:rsid w:val="00745E83"/>
    <w:rsid w:val="00750237"/>
    <w:rsid w:val="00750C04"/>
    <w:rsid w:val="00757D94"/>
    <w:rsid w:val="00785844"/>
    <w:rsid w:val="00787DF9"/>
    <w:rsid w:val="007A1413"/>
    <w:rsid w:val="007A431F"/>
    <w:rsid w:val="007A7608"/>
    <w:rsid w:val="007B698A"/>
    <w:rsid w:val="007D0059"/>
    <w:rsid w:val="007D23B4"/>
    <w:rsid w:val="007D5933"/>
    <w:rsid w:val="007D79CE"/>
    <w:rsid w:val="007E46A8"/>
    <w:rsid w:val="007F2E95"/>
    <w:rsid w:val="007F495F"/>
    <w:rsid w:val="007F6614"/>
    <w:rsid w:val="007F7436"/>
    <w:rsid w:val="00802F3C"/>
    <w:rsid w:val="0081064B"/>
    <w:rsid w:val="00815A93"/>
    <w:rsid w:val="00817967"/>
    <w:rsid w:val="0082208A"/>
    <w:rsid w:val="00835C1A"/>
    <w:rsid w:val="00835FE7"/>
    <w:rsid w:val="00837653"/>
    <w:rsid w:val="00850DBC"/>
    <w:rsid w:val="008552B6"/>
    <w:rsid w:val="0085734A"/>
    <w:rsid w:val="008646A5"/>
    <w:rsid w:val="00866C40"/>
    <w:rsid w:val="008869FF"/>
    <w:rsid w:val="008930FD"/>
    <w:rsid w:val="008B0BCC"/>
    <w:rsid w:val="008B15A3"/>
    <w:rsid w:val="008C1225"/>
    <w:rsid w:val="008C5310"/>
    <w:rsid w:val="008E56A2"/>
    <w:rsid w:val="0090295D"/>
    <w:rsid w:val="00904BA9"/>
    <w:rsid w:val="009120FF"/>
    <w:rsid w:val="00913897"/>
    <w:rsid w:val="009163F1"/>
    <w:rsid w:val="00917D36"/>
    <w:rsid w:val="00927222"/>
    <w:rsid w:val="009276C6"/>
    <w:rsid w:val="00935730"/>
    <w:rsid w:val="00935927"/>
    <w:rsid w:val="00941BB3"/>
    <w:rsid w:val="00941F13"/>
    <w:rsid w:val="009542D7"/>
    <w:rsid w:val="009A6A98"/>
    <w:rsid w:val="009B33FC"/>
    <w:rsid w:val="009C10FE"/>
    <w:rsid w:val="00A06B7C"/>
    <w:rsid w:val="00A167B4"/>
    <w:rsid w:val="00A21DB1"/>
    <w:rsid w:val="00A322BB"/>
    <w:rsid w:val="00A323ED"/>
    <w:rsid w:val="00A37C54"/>
    <w:rsid w:val="00A4215F"/>
    <w:rsid w:val="00A624CB"/>
    <w:rsid w:val="00A65487"/>
    <w:rsid w:val="00A6721F"/>
    <w:rsid w:val="00A70B7E"/>
    <w:rsid w:val="00A779BF"/>
    <w:rsid w:val="00A80F92"/>
    <w:rsid w:val="00A83110"/>
    <w:rsid w:val="00AA08AF"/>
    <w:rsid w:val="00AA312C"/>
    <w:rsid w:val="00AA6A1A"/>
    <w:rsid w:val="00AC45EA"/>
    <w:rsid w:val="00AC6B1D"/>
    <w:rsid w:val="00AF37CB"/>
    <w:rsid w:val="00AF6176"/>
    <w:rsid w:val="00B034F2"/>
    <w:rsid w:val="00B0741C"/>
    <w:rsid w:val="00B274F5"/>
    <w:rsid w:val="00B27E88"/>
    <w:rsid w:val="00B30767"/>
    <w:rsid w:val="00B4283C"/>
    <w:rsid w:val="00B45E64"/>
    <w:rsid w:val="00B46CCD"/>
    <w:rsid w:val="00B66C1D"/>
    <w:rsid w:val="00B66FE8"/>
    <w:rsid w:val="00B840AF"/>
    <w:rsid w:val="00B84FC9"/>
    <w:rsid w:val="00B93308"/>
    <w:rsid w:val="00BD7F69"/>
    <w:rsid w:val="00BE36E4"/>
    <w:rsid w:val="00BF20E3"/>
    <w:rsid w:val="00BF3E02"/>
    <w:rsid w:val="00BF5AC4"/>
    <w:rsid w:val="00C121F2"/>
    <w:rsid w:val="00C17C90"/>
    <w:rsid w:val="00C3218F"/>
    <w:rsid w:val="00C41ACA"/>
    <w:rsid w:val="00C5066D"/>
    <w:rsid w:val="00C509E2"/>
    <w:rsid w:val="00C50C2E"/>
    <w:rsid w:val="00C65CF7"/>
    <w:rsid w:val="00C70A24"/>
    <w:rsid w:val="00C74884"/>
    <w:rsid w:val="00C95253"/>
    <w:rsid w:val="00CA351F"/>
    <w:rsid w:val="00CB122C"/>
    <w:rsid w:val="00CB6727"/>
    <w:rsid w:val="00CB6F95"/>
    <w:rsid w:val="00CC4AC9"/>
    <w:rsid w:val="00CD6C5A"/>
    <w:rsid w:val="00CE1577"/>
    <w:rsid w:val="00CE322B"/>
    <w:rsid w:val="00CF18F0"/>
    <w:rsid w:val="00CF66D0"/>
    <w:rsid w:val="00CF6FC6"/>
    <w:rsid w:val="00D16464"/>
    <w:rsid w:val="00D319E1"/>
    <w:rsid w:val="00D31A0E"/>
    <w:rsid w:val="00D406D0"/>
    <w:rsid w:val="00D513FE"/>
    <w:rsid w:val="00D6635D"/>
    <w:rsid w:val="00D77965"/>
    <w:rsid w:val="00D81519"/>
    <w:rsid w:val="00D869EF"/>
    <w:rsid w:val="00D8731B"/>
    <w:rsid w:val="00D92005"/>
    <w:rsid w:val="00DB582D"/>
    <w:rsid w:val="00DD64A0"/>
    <w:rsid w:val="00DF6714"/>
    <w:rsid w:val="00DF7F44"/>
    <w:rsid w:val="00E016DC"/>
    <w:rsid w:val="00E02B67"/>
    <w:rsid w:val="00E02C4F"/>
    <w:rsid w:val="00E12229"/>
    <w:rsid w:val="00E1262B"/>
    <w:rsid w:val="00E15C6E"/>
    <w:rsid w:val="00E27E18"/>
    <w:rsid w:val="00E34F90"/>
    <w:rsid w:val="00E415FD"/>
    <w:rsid w:val="00E42D38"/>
    <w:rsid w:val="00E53FEE"/>
    <w:rsid w:val="00E640AB"/>
    <w:rsid w:val="00E80A1A"/>
    <w:rsid w:val="00E858F3"/>
    <w:rsid w:val="00EA26FB"/>
    <w:rsid w:val="00EB16D4"/>
    <w:rsid w:val="00EC23C7"/>
    <w:rsid w:val="00EC7354"/>
    <w:rsid w:val="00ED0DFB"/>
    <w:rsid w:val="00ED372D"/>
    <w:rsid w:val="00EE17F1"/>
    <w:rsid w:val="00EE3A7E"/>
    <w:rsid w:val="00F26BA5"/>
    <w:rsid w:val="00F2744B"/>
    <w:rsid w:val="00F30E62"/>
    <w:rsid w:val="00F40B8B"/>
    <w:rsid w:val="00F471EA"/>
    <w:rsid w:val="00F47B57"/>
    <w:rsid w:val="00F65FD7"/>
    <w:rsid w:val="00F75BD3"/>
    <w:rsid w:val="00FA6D35"/>
    <w:rsid w:val="00FB0EF3"/>
    <w:rsid w:val="00FD0EA9"/>
    <w:rsid w:val="00FF2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E16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600"/>
  </w:style>
  <w:style w:type="paragraph" w:styleId="Footer">
    <w:name w:val="footer"/>
    <w:basedOn w:val="Normal"/>
    <w:link w:val="FooterChar"/>
    <w:uiPriority w:val="99"/>
    <w:semiHidden/>
    <w:unhideWhenUsed/>
    <w:rsid w:val="004E16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600"/>
  </w:style>
  <w:style w:type="paragraph" w:styleId="NoSpacing">
    <w:name w:val="No Spacing"/>
    <w:uiPriority w:val="1"/>
    <w:qFormat/>
    <w:rsid w:val="00BF20E3"/>
    <w:pPr>
      <w:spacing w:after="0" w:line="240" w:lineRule="auto"/>
    </w:pPr>
  </w:style>
  <w:style w:type="character" w:styleId="Hyperlink">
    <w:name w:val="Hyperlink"/>
    <w:basedOn w:val="DefaultParagraphFont"/>
    <w:uiPriority w:val="99"/>
    <w:unhideWhenUsed/>
    <w:rsid w:val="00286C81"/>
    <w:rPr>
      <w:color w:val="0000FF" w:themeColor="hyperlink"/>
      <w:u w:val="single"/>
    </w:rPr>
  </w:style>
  <w:style w:type="character" w:styleId="FollowedHyperlink">
    <w:name w:val="FollowedHyperlink"/>
    <w:basedOn w:val="DefaultParagraphFont"/>
    <w:uiPriority w:val="99"/>
    <w:semiHidden/>
    <w:unhideWhenUsed/>
    <w:rsid w:val="00286C81"/>
    <w:rPr>
      <w:color w:val="800080" w:themeColor="followedHyperlink"/>
      <w:u w:val="single"/>
    </w:rPr>
  </w:style>
  <w:style w:type="paragraph" w:styleId="DocumentMap">
    <w:name w:val="Document Map"/>
    <w:basedOn w:val="Normal"/>
    <w:link w:val="DocumentMapChar"/>
    <w:uiPriority w:val="99"/>
    <w:semiHidden/>
    <w:unhideWhenUsed/>
    <w:rsid w:val="000814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14AA"/>
    <w:rPr>
      <w:rFonts w:ascii="Tahoma" w:hAnsi="Tahoma" w:cs="Tahoma"/>
      <w:sz w:val="16"/>
      <w:szCs w:val="16"/>
    </w:rPr>
  </w:style>
  <w:style w:type="character" w:styleId="CommentReference">
    <w:name w:val="annotation reference"/>
    <w:basedOn w:val="DefaultParagraphFont"/>
    <w:uiPriority w:val="99"/>
    <w:semiHidden/>
    <w:unhideWhenUsed/>
    <w:rsid w:val="00B30767"/>
    <w:rPr>
      <w:sz w:val="16"/>
      <w:szCs w:val="16"/>
    </w:rPr>
  </w:style>
  <w:style w:type="paragraph" w:styleId="CommentText">
    <w:name w:val="annotation text"/>
    <w:basedOn w:val="Normal"/>
    <w:link w:val="CommentTextChar"/>
    <w:uiPriority w:val="99"/>
    <w:semiHidden/>
    <w:unhideWhenUsed/>
    <w:rsid w:val="00B30767"/>
    <w:pPr>
      <w:spacing w:line="240" w:lineRule="auto"/>
    </w:pPr>
    <w:rPr>
      <w:sz w:val="20"/>
      <w:szCs w:val="20"/>
    </w:rPr>
  </w:style>
  <w:style w:type="character" w:customStyle="1" w:styleId="CommentTextChar">
    <w:name w:val="Comment Text Char"/>
    <w:basedOn w:val="DefaultParagraphFont"/>
    <w:link w:val="CommentText"/>
    <w:uiPriority w:val="99"/>
    <w:semiHidden/>
    <w:rsid w:val="00B30767"/>
    <w:rPr>
      <w:sz w:val="20"/>
      <w:szCs w:val="20"/>
    </w:rPr>
  </w:style>
  <w:style w:type="paragraph" w:styleId="CommentSubject">
    <w:name w:val="annotation subject"/>
    <w:basedOn w:val="CommentText"/>
    <w:next w:val="CommentText"/>
    <w:link w:val="CommentSubjectChar"/>
    <w:uiPriority w:val="99"/>
    <w:semiHidden/>
    <w:unhideWhenUsed/>
    <w:rsid w:val="00B30767"/>
    <w:rPr>
      <w:b/>
      <w:bCs/>
    </w:rPr>
  </w:style>
  <w:style w:type="character" w:customStyle="1" w:styleId="CommentSubjectChar">
    <w:name w:val="Comment Subject Char"/>
    <w:basedOn w:val="CommentTextChar"/>
    <w:link w:val="CommentSubject"/>
    <w:uiPriority w:val="99"/>
    <w:semiHidden/>
    <w:rsid w:val="00B30767"/>
    <w:rPr>
      <w:b/>
      <w:bCs/>
    </w:rPr>
  </w:style>
  <w:style w:type="paragraph" w:styleId="BalloonText">
    <w:name w:val="Balloon Text"/>
    <w:basedOn w:val="Normal"/>
    <w:link w:val="BalloonTextChar"/>
    <w:uiPriority w:val="99"/>
    <w:semiHidden/>
    <w:unhideWhenUsed/>
    <w:rsid w:val="00B3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13788">
      <w:bodyDiv w:val="1"/>
      <w:marLeft w:val="0"/>
      <w:marRight w:val="0"/>
      <w:marTop w:val="0"/>
      <w:marBottom w:val="0"/>
      <w:divBdr>
        <w:top w:val="none" w:sz="0" w:space="0" w:color="auto"/>
        <w:left w:val="none" w:sz="0" w:space="0" w:color="auto"/>
        <w:bottom w:val="none" w:sz="0" w:space="0" w:color="auto"/>
        <w:right w:val="none" w:sz="0" w:space="0" w:color="auto"/>
      </w:divBdr>
    </w:div>
    <w:div w:id="216473711">
      <w:bodyDiv w:val="1"/>
      <w:marLeft w:val="0"/>
      <w:marRight w:val="0"/>
      <w:marTop w:val="0"/>
      <w:marBottom w:val="0"/>
      <w:divBdr>
        <w:top w:val="none" w:sz="0" w:space="0" w:color="auto"/>
        <w:left w:val="none" w:sz="0" w:space="0" w:color="auto"/>
        <w:bottom w:val="none" w:sz="0" w:space="0" w:color="auto"/>
        <w:right w:val="none" w:sz="0" w:space="0" w:color="auto"/>
      </w:divBdr>
    </w:div>
    <w:div w:id="347566143">
      <w:bodyDiv w:val="1"/>
      <w:marLeft w:val="0"/>
      <w:marRight w:val="0"/>
      <w:marTop w:val="0"/>
      <w:marBottom w:val="0"/>
      <w:divBdr>
        <w:top w:val="none" w:sz="0" w:space="0" w:color="auto"/>
        <w:left w:val="none" w:sz="0" w:space="0" w:color="auto"/>
        <w:bottom w:val="none" w:sz="0" w:space="0" w:color="auto"/>
        <w:right w:val="none" w:sz="0" w:space="0" w:color="auto"/>
      </w:divBdr>
    </w:div>
    <w:div w:id="377125400">
      <w:bodyDiv w:val="1"/>
      <w:marLeft w:val="0"/>
      <w:marRight w:val="0"/>
      <w:marTop w:val="0"/>
      <w:marBottom w:val="0"/>
      <w:divBdr>
        <w:top w:val="none" w:sz="0" w:space="0" w:color="auto"/>
        <w:left w:val="none" w:sz="0" w:space="0" w:color="auto"/>
        <w:bottom w:val="none" w:sz="0" w:space="0" w:color="auto"/>
        <w:right w:val="none" w:sz="0" w:space="0" w:color="auto"/>
      </w:divBdr>
    </w:div>
    <w:div w:id="445730968">
      <w:bodyDiv w:val="1"/>
      <w:marLeft w:val="0"/>
      <w:marRight w:val="0"/>
      <w:marTop w:val="0"/>
      <w:marBottom w:val="0"/>
      <w:divBdr>
        <w:top w:val="none" w:sz="0" w:space="0" w:color="auto"/>
        <w:left w:val="none" w:sz="0" w:space="0" w:color="auto"/>
        <w:bottom w:val="none" w:sz="0" w:space="0" w:color="auto"/>
        <w:right w:val="none" w:sz="0" w:space="0" w:color="auto"/>
      </w:divBdr>
    </w:div>
    <w:div w:id="500435513">
      <w:bodyDiv w:val="1"/>
      <w:marLeft w:val="0"/>
      <w:marRight w:val="0"/>
      <w:marTop w:val="0"/>
      <w:marBottom w:val="0"/>
      <w:divBdr>
        <w:top w:val="none" w:sz="0" w:space="0" w:color="auto"/>
        <w:left w:val="none" w:sz="0" w:space="0" w:color="auto"/>
        <w:bottom w:val="none" w:sz="0" w:space="0" w:color="auto"/>
        <w:right w:val="none" w:sz="0" w:space="0" w:color="auto"/>
      </w:divBdr>
    </w:div>
    <w:div w:id="559363003">
      <w:bodyDiv w:val="1"/>
      <w:marLeft w:val="0"/>
      <w:marRight w:val="0"/>
      <w:marTop w:val="0"/>
      <w:marBottom w:val="0"/>
      <w:divBdr>
        <w:top w:val="none" w:sz="0" w:space="0" w:color="auto"/>
        <w:left w:val="none" w:sz="0" w:space="0" w:color="auto"/>
        <w:bottom w:val="none" w:sz="0" w:space="0" w:color="auto"/>
        <w:right w:val="none" w:sz="0" w:space="0" w:color="auto"/>
      </w:divBdr>
    </w:div>
    <w:div w:id="565528535">
      <w:bodyDiv w:val="1"/>
      <w:marLeft w:val="0"/>
      <w:marRight w:val="0"/>
      <w:marTop w:val="0"/>
      <w:marBottom w:val="0"/>
      <w:divBdr>
        <w:top w:val="none" w:sz="0" w:space="0" w:color="auto"/>
        <w:left w:val="none" w:sz="0" w:space="0" w:color="auto"/>
        <w:bottom w:val="none" w:sz="0" w:space="0" w:color="auto"/>
        <w:right w:val="none" w:sz="0" w:space="0" w:color="auto"/>
      </w:divBdr>
    </w:div>
    <w:div w:id="799150318">
      <w:bodyDiv w:val="1"/>
      <w:marLeft w:val="0"/>
      <w:marRight w:val="0"/>
      <w:marTop w:val="0"/>
      <w:marBottom w:val="0"/>
      <w:divBdr>
        <w:top w:val="none" w:sz="0" w:space="0" w:color="auto"/>
        <w:left w:val="none" w:sz="0" w:space="0" w:color="auto"/>
        <w:bottom w:val="none" w:sz="0" w:space="0" w:color="auto"/>
        <w:right w:val="none" w:sz="0" w:space="0" w:color="auto"/>
      </w:divBdr>
    </w:div>
    <w:div w:id="866673944">
      <w:bodyDiv w:val="1"/>
      <w:marLeft w:val="0"/>
      <w:marRight w:val="0"/>
      <w:marTop w:val="0"/>
      <w:marBottom w:val="0"/>
      <w:divBdr>
        <w:top w:val="none" w:sz="0" w:space="0" w:color="auto"/>
        <w:left w:val="none" w:sz="0" w:space="0" w:color="auto"/>
        <w:bottom w:val="none" w:sz="0" w:space="0" w:color="auto"/>
        <w:right w:val="none" w:sz="0" w:space="0" w:color="auto"/>
      </w:divBdr>
    </w:div>
    <w:div w:id="986393960">
      <w:bodyDiv w:val="1"/>
      <w:marLeft w:val="0"/>
      <w:marRight w:val="0"/>
      <w:marTop w:val="0"/>
      <w:marBottom w:val="0"/>
      <w:divBdr>
        <w:top w:val="none" w:sz="0" w:space="0" w:color="auto"/>
        <w:left w:val="none" w:sz="0" w:space="0" w:color="auto"/>
        <w:bottom w:val="none" w:sz="0" w:space="0" w:color="auto"/>
        <w:right w:val="none" w:sz="0" w:space="0" w:color="auto"/>
      </w:divBdr>
    </w:div>
    <w:div w:id="1035545117">
      <w:bodyDiv w:val="1"/>
      <w:marLeft w:val="0"/>
      <w:marRight w:val="0"/>
      <w:marTop w:val="0"/>
      <w:marBottom w:val="0"/>
      <w:divBdr>
        <w:top w:val="none" w:sz="0" w:space="0" w:color="auto"/>
        <w:left w:val="none" w:sz="0" w:space="0" w:color="auto"/>
        <w:bottom w:val="none" w:sz="0" w:space="0" w:color="auto"/>
        <w:right w:val="none" w:sz="0" w:space="0" w:color="auto"/>
      </w:divBdr>
    </w:div>
    <w:div w:id="1062564459">
      <w:bodyDiv w:val="1"/>
      <w:marLeft w:val="0"/>
      <w:marRight w:val="0"/>
      <w:marTop w:val="0"/>
      <w:marBottom w:val="0"/>
      <w:divBdr>
        <w:top w:val="none" w:sz="0" w:space="0" w:color="auto"/>
        <w:left w:val="none" w:sz="0" w:space="0" w:color="auto"/>
        <w:bottom w:val="none" w:sz="0" w:space="0" w:color="auto"/>
        <w:right w:val="none" w:sz="0" w:space="0" w:color="auto"/>
      </w:divBdr>
    </w:div>
    <w:div w:id="1106654048">
      <w:bodyDiv w:val="1"/>
      <w:marLeft w:val="0"/>
      <w:marRight w:val="0"/>
      <w:marTop w:val="0"/>
      <w:marBottom w:val="0"/>
      <w:divBdr>
        <w:top w:val="none" w:sz="0" w:space="0" w:color="auto"/>
        <w:left w:val="none" w:sz="0" w:space="0" w:color="auto"/>
        <w:bottom w:val="none" w:sz="0" w:space="0" w:color="auto"/>
        <w:right w:val="none" w:sz="0" w:space="0" w:color="auto"/>
      </w:divBdr>
    </w:div>
    <w:div w:id="1143695944">
      <w:bodyDiv w:val="1"/>
      <w:marLeft w:val="0"/>
      <w:marRight w:val="0"/>
      <w:marTop w:val="0"/>
      <w:marBottom w:val="0"/>
      <w:divBdr>
        <w:top w:val="none" w:sz="0" w:space="0" w:color="auto"/>
        <w:left w:val="none" w:sz="0" w:space="0" w:color="auto"/>
        <w:bottom w:val="none" w:sz="0" w:space="0" w:color="auto"/>
        <w:right w:val="none" w:sz="0" w:space="0" w:color="auto"/>
      </w:divBdr>
    </w:div>
    <w:div w:id="1190535211">
      <w:bodyDiv w:val="1"/>
      <w:marLeft w:val="0"/>
      <w:marRight w:val="0"/>
      <w:marTop w:val="0"/>
      <w:marBottom w:val="0"/>
      <w:divBdr>
        <w:top w:val="none" w:sz="0" w:space="0" w:color="auto"/>
        <w:left w:val="none" w:sz="0" w:space="0" w:color="auto"/>
        <w:bottom w:val="none" w:sz="0" w:space="0" w:color="auto"/>
        <w:right w:val="none" w:sz="0" w:space="0" w:color="auto"/>
      </w:divBdr>
    </w:div>
    <w:div w:id="1191451075">
      <w:bodyDiv w:val="1"/>
      <w:marLeft w:val="0"/>
      <w:marRight w:val="0"/>
      <w:marTop w:val="0"/>
      <w:marBottom w:val="0"/>
      <w:divBdr>
        <w:top w:val="none" w:sz="0" w:space="0" w:color="auto"/>
        <w:left w:val="none" w:sz="0" w:space="0" w:color="auto"/>
        <w:bottom w:val="none" w:sz="0" w:space="0" w:color="auto"/>
        <w:right w:val="none" w:sz="0" w:space="0" w:color="auto"/>
      </w:divBdr>
    </w:div>
    <w:div w:id="1290091795">
      <w:bodyDiv w:val="1"/>
      <w:marLeft w:val="0"/>
      <w:marRight w:val="0"/>
      <w:marTop w:val="0"/>
      <w:marBottom w:val="0"/>
      <w:divBdr>
        <w:top w:val="none" w:sz="0" w:space="0" w:color="auto"/>
        <w:left w:val="none" w:sz="0" w:space="0" w:color="auto"/>
        <w:bottom w:val="none" w:sz="0" w:space="0" w:color="auto"/>
        <w:right w:val="none" w:sz="0" w:space="0" w:color="auto"/>
      </w:divBdr>
    </w:div>
    <w:div w:id="1369062277">
      <w:bodyDiv w:val="1"/>
      <w:marLeft w:val="0"/>
      <w:marRight w:val="0"/>
      <w:marTop w:val="0"/>
      <w:marBottom w:val="0"/>
      <w:divBdr>
        <w:top w:val="none" w:sz="0" w:space="0" w:color="auto"/>
        <w:left w:val="none" w:sz="0" w:space="0" w:color="auto"/>
        <w:bottom w:val="none" w:sz="0" w:space="0" w:color="auto"/>
        <w:right w:val="none" w:sz="0" w:space="0" w:color="auto"/>
      </w:divBdr>
    </w:div>
    <w:div w:id="1424035961">
      <w:bodyDiv w:val="1"/>
      <w:marLeft w:val="0"/>
      <w:marRight w:val="0"/>
      <w:marTop w:val="0"/>
      <w:marBottom w:val="0"/>
      <w:divBdr>
        <w:top w:val="none" w:sz="0" w:space="0" w:color="auto"/>
        <w:left w:val="none" w:sz="0" w:space="0" w:color="auto"/>
        <w:bottom w:val="none" w:sz="0" w:space="0" w:color="auto"/>
        <w:right w:val="none" w:sz="0" w:space="0" w:color="auto"/>
      </w:divBdr>
    </w:div>
    <w:div w:id="1601790727">
      <w:bodyDiv w:val="1"/>
      <w:marLeft w:val="0"/>
      <w:marRight w:val="0"/>
      <w:marTop w:val="0"/>
      <w:marBottom w:val="0"/>
      <w:divBdr>
        <w:top w:val="none" w:sz="0" w:space="0" w:color="auto"/>
        <w:left w:val="none" w:sz="0" w:space="0" w:color="auto"/>
        <w:bottom w:val="none" w:sz="0" w:space="0" w:color="auto"/>
        <w:right w:val="none" w:sz="0" w:space="0" w:color="auto"/>
      </w:divBdr>
    </w:div>
    <w:div w:id="1777477742">
      <w:bodyDiv w:val="1"/>
      <w:marLeft w:val="0"/>
      <w:marRight w:val="0"/>
      <w:marTop w:val="0"/>
      <w:marBottom w:val="0"/>
      <w:divBdr>
        <w:top w:val="none" w:sz="0" w:space="0" w:color="auto"/>
        <w:left w:val="none" w:sz="0" w:space="0" w:color="auto"/>
        <w:bottom w:val="none" w:sz="0" w:space="0" w:color="auto"/>
        <w:right w:val="none" w:sz="0" w:space="0" w:color="auto"/>
      </w:divBdr>
    </w:div>
    <w:div w:id="1839691978">
      <w:bodyDiv w:val="1"/>
      <w:marLeft w:val="0"/>
      <w:marRight w:val="0"/>
      <w:marTop w:val="0"/>
      <w:marBottom w:val="0"/>
      <w:divBdr>
        <w:top w:val="none" w:sz="0" w:space="0" w:color="auto"/>
        <w:left w:val="none" w:sz="0" w:space="0" w:color="auto"/>
        <w:bottom w:val="none" w:sz="0" w:space="0" w:color="auto"/>
        <w:right w:val="none" w:sz="0" w:space="0" w:color="auto"/>
      </w:divBdr>
    </w:div>
    <w:div w:id="1862620171">
      <w:bodyDiv w:val="1"/>
      <w:marLeft w:val="0"/>
      <w:marRight w:val="0"/>
      <w:marTop w:val="0"/>
      <w:marBottom w:val="0"/>
      <w:divBdr>
        <w:top w:val="none" w:sz="0" w:space="0" w:color="auto"/>
        <w:left w:val="none" w:sz="0" w:space="0" w:color="auto"/>
        <w:bottom w:val="none" w:sz="0" w:space="0" w:color="auto"/>
        <w:right w:val="none" w:sz="0" w:space="0" w:color="auto"/>
      </w:divBdr>
    </w:div>
    <w:div w:id="1882017218">
      <w:bodyDiv w:val="1"/>
      <w:marLeft w:val="0"/>
      <w:marRight w:val="0"/>
      <w:marTop w:val="0"/>
      <w:marBottom w:val="0"/>
      <w:divBdr>
        <w:top w:val="none" w:sz="0" w:space="0" w:color="auto"/>
        <w:left w:val="none" w:sz="0" w:space="0" w:color="auto"/>
        <w:bottom w:val="none" w:sz="0" w:space="0" w:color="auto"/>
        <w:right w:val="none" w:sz="0" w:space="0" w:color="auto"/>
      </w:divBdr>
    </w:div>
    <w:div w:id="1886746466">
      <w:bodyDiv w:val="1"/>
      <w:marLeft w:val="0"/>
      <w:marRight w:val="0"/>
      <w:marTop w:val="0"/>
      <w:marBottom w:val="0"/>
      <w:divBdr>
        <w:top w:val="none" w:sz="0" w:space="0" w:color="auto"/>
        <w:left w:val="none" w:sz="0" w:space="0" w:color="auto"/>
        <w:bottom w:val="none" w:sz="0" w:space="0" w:color="auto"/>
        <w:right w:val="none" w:sz="0" w:space="0" w:color="auto"/>
      </w:divBdr>
    </w:div>
    <w:div w:id="1895963820">
      <w:bodyDiv w:val="1"/>
      <w:marLeft w:val="0"/>
      <w:marRight w:val="0"/>
      <w:marTop w:val="0"/>
      <w:marBottom w:val="0"/>
      <w:divBdr>
        <w:top w:val="none" w:sz="0" w:space="0" w:color="auto"/>
        <w:left w:val="none" w:sz="0" w:space="0" w:color="auto"/>
        <w:bottom w:val="none" w:sz="0" w:space="0" w:color="auto"/>
        <w:right w:val="none" w:sz="0" w:space="0" w:color="auto"/>
      </w:divBdr>
    </w:div>
    <w:div w:id="1935743810">
      <w:bodyDiv w:val="1"/>
      <w:marLeft w:val="0"/>
      <w:marRight w:val="0"/>
      <w:marTop w:val="0"/>
      <w:marBottom w:val="0"/>
      <w:divBdr>
        <w:top w:val="none" w:sz="0" w:space="0" w:color="auto"/>
        <w:left w:val="none" w:sz="0" w:space="0" w:color="auto"/>
        <w:bottom w:val="none" w:sz="0" w:space="0" w:color="auto"/>
        <w:right w:val="none" w:sz="0" w:space="0" w:color="auto"/>
      </w:divBdr>
    </w:div>
    <w:div w:id="1997873358">
      <w:bodyDiv w:val="1"/>
      <w:marLeft w:val="0"/>
      <w:marRight w:val="0"/>
      <w:marTop w:val="0"/>
      <w:marBottom w:val="0"/>
      <w:divBdr>
        <w:top w:val="none" w:sz="0" w:space="0" w:color="auto"/>
        <w:left w:val="none" w:sz="0" w:space="0" w:color="auto"/>
        <w:bottom w:val="none" w:sz="0" w:space="0" w:color="auto"/>
        <w:right w:val="none" w:sz="0" w:space="0" w:color="auto"/>
      </w:divBdr>
    </w:div>
    <w:div w:id="20511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com.ph/Manual%20on%20Corporate%20Governance.pdf" TargetMode="External"/><Relationship Id="rId13" Type="http://schemas.openxmlformats.org/officeDocument/2006/relationships/hyperlink" Target="http://www.maa.com.ph/NOTICE%20OF%20AGM%202015.docx" TargetMode="External"/><Relationship Id="rId18" Type="http://schemas.openxmlformats.org/officeDocument/2006/relationships/hyperlink" Target="http://www.maa.com.ph/Code%20of%20Business%20Conduct%20and%20Ethics.pdf" TargetMode="External"/><Relationship Id="rId3" Type="http://schemas.openxmlformats.org/officeDocument/2006/relationships/settings" Target="settings.xml"/><Relationship Id="rId21" Type="http://schemas.openxmlformats.org/officeDocument/2006/relationships/hyperlink" Target="http://www.maa.com.ph/Manual%20on%20Corporate%20Governance.pdf" TargetMode="External"/><Relationship Id="rId7" Type="http://schemas.openxmlformats.org/officeDocument/2006/relationships/hyperlink" Target="http://www.maa.com.ph/PART%20B.pdf" TargetMode="External"/><Relationship Id="rId12" Type="http://schemas.openxmlformats.org/officeDocument/2006/relationships/hyperlink" Target="http://www.maa.com.ph/0103-board.php" TargetMode="External"/><Relationship Id="rId17" Type="http://schemas.openxmlformats.org/officeDocument/2006/relationships/hyperlink" Target="http://www.maa.com.ph/Code%20of%20Business%20Conduct%20and%20Ethics.pdf" TargetMode="External"/><Relationship Id="rId2" Type="http://schemas.openxmlformats.org/officeDocument/2006/relationships/styles" Target="styles.xml"/><Relationship Id="rId16" Type="http://schemas.openxmlformats.org/officeDocument/2006/relationships/hyperlink" Target="http://www.maa.com.ph/Code%20of%20Business%20Conduct%20and%20Ethics.pdf" TargetMode="External"/><Relationship Id="rId20" Type="http://schemas.openxmlformats.org/officeDocument/2006/relationships/hyperlink" Target="http://www.maa.com.ph/Manual%20on%20Corporate%20Governance.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a.com.ph/NOTICE%20OF%20AGM%202015.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a.com.ph/Proxy%20Formx.pdf" TargetMode="External"/><Relationship Id="rId23" Type="http://schemas.openxmlformats.org/officeDocument/2006/relationships/fontTable" Target="fontTable.xml"/><Relationship Id="rId10" Type="http://schemas.openxmlformats.org/officeDocument/2006/relationships/hyperlink" Target="http://www.maa.com.ph/NOTICE%20OF%20AGM%202015.docx" TargetMode="External"/><Relationship Id="rId19" Type="http://schemas.openxmlformats.org/officeDocument/2006/relationships/hyperlink" Target="http://www.maa.com.ph/TOF-%20Audit%20Committee.pdf" TargetMode="External"/><Relationship Id="rId4" Type="http://schemas.openxmlformats.org/officeDocument/2006/relationships/webSettings" Target="webSettings.xml"/><Relationship Id="rId9" Type="http://schemas.openxmlformats.org/officeDocument/2006/relationships/hyperlink" Target="http://www.maa.com.ph/By-Laws.pdf" TargetMode="External"/><Relationship Id="rId14" Type="http://schemas.openxmlformats.org/officeDocument/2006/relationships/hyperlink" Target="http://www.maa.com.ph/By-Law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0F9D-B58F-48EE-B214-1C05F677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somar</dc:creator>
  <cp:lastModifiedBy>Roms</cp:lastModifiedBy>
  <cp:revision>3</cp:revision>
  <cp:lastPrinted>2015-05-21T08:42:00Z</cp:lastPrinted>
  <dcterms:created xsi:type="dcterms:W3CDTF">2015-06-15T08:05:00Z</dcterms:created>
  <dcterms:modified xsi:type="dcterms:W3CDTF">2015-06-15T08:06:00Z</dcterms:modified>
</cp:coreProperties>
</file>