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14" w:rsidRDefault="00315A14" w:rsidP="00D844A1">
      <w:pPr>
        <w:rPr>
          <w:b/>
          <w:sz w:val="20"/>
          <w:szCs w:val="20"/>
        </w:rPr>
      </w:pPr>
    </w:p>
    <w:p w:rsidR="00D844A1" w:rsidRDefault="00D844A1" w:rsidP="00D844A1">
      <w:pPr>
        <w:rPr>
          <w:b/>
          <w:sz w:val="20"/>
          <w:szCs w:val="20"/>
        </w:rPr>
      </w:pPr>
      <w:r w:rsidRPr="007202BF">
        <w:rPr>
          <w:b/>
          <w:sz w:val="20"/>
          <w:szCs w:val="20"/>
        </w:rPr>
        <w:t>PART D: DISCLOSURE AND TRANSPARENCY</w:t>
      </w:r>
    </w:p>
    <w:tbl>
      <w:tblPr>
        <w:tblStyle w:val="TableGrid"/>
        <w:tblW w:w="0" w:type="auto"/>
        <w:tblLook w:val="04A0"/>
      </w:tblPr>
      <w:tblGrid>
        <w:gridCol w:w="1098"/>
        <w:gridCol w:w="4748"/>
        <w:gridCol w:w="4252"/>
        <w:gridCol w:w="1087"/>
        <w:gridCol w:w="3431"/>
      </w:tblGrid>
      <w:tr w:rsidR="00D844A1" w:rsidTr="004A761F">
        <w:tc>
          <w:tcPr>
            <w:tcW w:w="1098" w:type="dxa"/>
            <w:tcBorders>
              <w:left w:val="single" w:sz="4" w:space="0" w:color="000000" w:themeColor="text1"/>
            </w:tcBorders>
            <w:shd w:val="clear" w:color="auto" w:fill="FFC000"/>
          </w:tcPr>
          <w:p w:rsidR="00D844A1" w:rsidRDefault="00D844A1" w:rsidP="004A761F">
            <w:pPr>
              <w:jc w:val="center"/>
              <w:rPr>
                <w:b/>
                <w:sz w:val="20"/>
                <w:szCs w:val="20"/>
              </w:rPr>
            </w:pPr>
            <w:r>
              <w:rPr>
                <w:b/>
                <w:sz w:val="20"/>
                <w:szCs w:val="20"/>
              </w:rPr>
              <w:t>ITEM No.</w:t>
            </w:r>
          </w:p>
        </w:tc>
        <w:tc>
          <w:tcPr>
            <w:tcW w:w="4748" w:type="dxa"/>
            <w:shd w:val="clear" w:color="auto" w:fill="FFC000"/>
          </w:tcPr>
          <w:p w:rsidR="00D844A1" w:rsidRDefault="00D844A1" w:rsidP="004A761F">
            <w:pPr>
              <w:jc w:val="center"/>
              <w:rPr>
                <w:b/>
                <w:sz w:val="20"/>
                <w:szCs w:val="20"/>
              </w:rPr>
            </w:pPr>
            <w:r>
              <w:rPr>
                <w:b/>
                <w:sz w:val="20"/>
                <w:szCs w:val="20"/>
              </w:rPr>
              <w:t>GOVERNING STANDARD</w:t>
            </w:r>
          </w:p>
        </w:tc>
        <w:tc>
          <w:tcPr>
            <w:tcW w:w="4252" w:type="dxa"/>
            <w:shd w:val="clear" w:color="auto" w:fill="FFC000"/>
          </w:tcPr>
          <w:p w:rsidR="00D844A1" w:rsidRDefault="00D844A1" w:rsidP="004A761F">
            <w:pPr>
              <w:jc w:val="center"/>
              <w:rPr>
                <w:b/>
                <w:sz w:val="20"/>
                <w:szCs w:val="20"/>
              </w:rPr>
            </w:pPr>
            <w:r>
              <w:rPr>
                <w:b/>
                <w:sz w:val="20"/>
                <w:szCs w:val="20"/>
              </w:rPr>
              <w:t>APPLICABLE PRINCIPLE</w:t>
            </w:r>
          </w:p>
        </w:tc>
        <w:tc>
          <w:tcPr>
            <w:tcW w:w="1087" w:type="dxa"/>
            <w:shd w:val="clear" w:color="auto" w:fill="FFC000"/>
          </w:tcPr>
          <w:p w:rsidR="00D844A1" w:rsidRDefault="00D844A1" w:rsidP="004A761F">
            <w:pPr>
              <w:jc w:val="center"/>
              <w:rPr>
                <w:b/>
                <w:sz w:val="20"/>
                <w:szCs w:val="20"/>
              </w:rPr>
            </w:pPr>
            <w:r>
              <w:rPr>
                <w:b/>
                <w:sz w:val="20"/>
                <w:szCs w:val="20"/>
              </w:rPr>
              <w:t>RESPONSE</w:t>
            </w:r>
          </w:p>
        </w:tc>
        <w:tc>
          <w:tcPr>
            <w:tcW w:w="3431" w:type="dxa"/>
            <w:shd w:val="clear" w:color="auto" w:fill="FFC000"/>
          </w:tcPr>
          <w:p w:rsidR="00D844A1" w:rsidRDefault="00D844A1" w:rsidP="004A761F">
            <w:pPr>
              <w:jc w:val="center"/>
              <w:rPr>
                <w:b/>
                <w:sz w:val="20"/>
                <w:szCs w:val="20"/>
              </w:rPr>
            </w:pPr>
            <w:r>
              <w:rPr>
                <w:b/>
                <w:sz w:val="20"/>
                <w:szCs w:val="20"/>
              </w:rPr>
              <w:t>REFERENCE/SOURCE DOCUMENT</w:t>
            </w:r>
          </w:p>
        </w:tc>
      </w:tr>
      <w:tr w:rsidR="00D844A1" w:rsidTr="004A761F">
        <w:tc>
          <w:tcPr>
            <w:tcW w:w="14616" w:type="dxa"/>
            <w:gridSpan w:val="5"/>
            <w:tcBorders>
              <w:left w:val="single" w:sz="4" w:space="0" w:color="000000" w:themeColor="text1"/>
            </w:tcBorders>
            <w:shd w:val="clear" w:color="auto" w:fill="FFCC99"/>
          </w:tcPr>
          <w:p w:rsidR="00D844A1" w:rsidRDefault="00D844A1" w:rsidP="004A761F">
            <w:pPr>
              <w:rPr>
                <w:b/>
                <w:sz w:val="20"/>
                <w:szCs w:val="20"/>
              </w:rPr>
            </w:pPr>
            <w:r>
              <w:rPr>
                <w:b/>
                <w:sz w:val="20"/>
                <w:szCs w:val="20"/>
              </w:rPr>
              <w:t>D.1 Transparent ownership structure</w:t>
            </w:r>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D.1.1</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Does the information on shareholdings reveal the identity of beneficial owners, holding 5% shareholding or more?</w:t>
            </w:r>
          </w:p>
        </w:tc>
        <w:tc>
          <w:tcPr>
            <w:tcW w:w="4252" w:type="dxa"/>
            <w:vMerge w:val="restart"/>
          </w:tcPr>
          <w:p w:rsidR="00D844A1" w:rsidRPr="00904BA9" w:rsidRDefault="00D844A1" w:rsidP="004A761F">
            <w:pPr>
              <w:rPr>
                <w:b/>
                <w:sz w:val="18"/>
                <w:szCs w:val="20"/>
              </w:rPr>
            </w:pPr>
            <w:r w:rsidRPr="00904BA9">
              <w:rPr>
                <w:b/>
                <w:sz w:val="18"/>
                <w:szCs w:val="20"/>
              </w:rPr>
              <w:t>“OECD Principle V: Disclosure and Transparency</w:t>
            </w:r>
          </w:p>
          <w:p w:rsidR="00D844A1" w:rsidRPr="00904BA9" w:rsidRDefault="00D844A1" w:rsidP="004A761F">
            <w:pPr>
              <w:rPr>
                <w:b/>
                <w:sz w:val="18"/>
                <w:szCs w:val="20"/>
              </w:rPr>
            </w:pPr>
            <w:r w:rsidRPr="00904BA9">
              <w:rPr>
                <w:b/>
                <w:sz w:val="18"/>
                <w:szCs w:val="20"/>
              </w:rPr>
              <w:t>(A) Disclosure should include, but not limited to, material information on:</w:t>
            </w:r>
          </w:p>
          <w:p w:rsidR="00D844A1" w:rsidRPr="00904BA9" w:rsidRDefault="00D844A1" w:rsidP="004A761F">
            <w:pPr>
              <w:rPr>
                <w:b/>
                <w:sz w:val="18"/>
                <w:szCs w:val="20"/>
              </w:rPr>
            </w:pPr>
            <w:r w:rsidRPr="00904BA9">
              <w:rPr>
                <w:b/>
                <w:sz w:val="18"/>
                <w:szCs w:val="20"/>
              </w:rPr>
              <w:t>(3) Major share ownership and voting rights, including group structures, intra-group relations, ownership data, and beneficial ownership.</w:t>
            </w:r>
          </w:p>
          <w:p w:rsidR="00D844A1" w:rsidRPr="00904BA9" w:rsidRDefault="00D844A1" w:rsidP="004A761F">
            <w:pPr>
              <w:rPr>
                <w:b/>
                <w:sz w:val="18"/>
                <w:szCs w:val="20"/>
              </w:rPr>
            </w:pPr>
          </w:p>
          <w:p w:rsidR="00D844A1" w:rsidRPr="00904BA9" w:rsidRDefault="00D844A1" w:rsidP="004A761F">
            <w:pPr>
              <w:rPr>
                <w:b/>
                <w:sz w:val="18"/>
                <w:szCs w:val="20"/>
              </w:rPr>
            </w:pPr>
            <w:r w:rsidRPr="00904BA9">
              <w:rPr>
                <w:b/>
                <w:sz w:val="18"/>
                <w:szCs w:val="20"/>
              </w:rPr>
              <w:t>ICGN 7.6 Disclosure of ownership</w:t>
            </w:r>
          </w:p>
          <w:p w:rsidR="00D844A1" w:rsidRPr="007202BF" w:rsidRDefault="00D844A1" w:rsidP="004A761F">
            <w:pPr>
              <w:rPr>
                <w:b/>
                <w:sz w:val="20"/>
                <w:szCs w:val="20"/>
              </w:rPr>
            </w:pPr>
            <w:r w:rsidRPr="00904BA9">
              <w:rPr>
                <w:b/>
                <w:sz w:val="18"/>
                <w:szCs w:val="20"/>
              </w:rPr>
              <w:t>... the disclosure should include a description of the relationship of the company to other companies in the corporate group, data on major shareholders and any other information necessary for a proper understanding of the company's relationship with its public shareholders."</w:t>
            </w:r>
          </w:p>
          <w:p w:rsidR="00D844A1" w:rsidRPr="007202BF" w:rsidRDefault="00D844A1" w:rsidP="004A761F">
            <w:pPr>
              <w:rPr>
                <w:b/>
                <w:sz w:val="20"/>
                <w:szCs w:val="20"/>
              </w:rPr>
            </w:pPr>
          </w:p>
          <w:p w:rsidR="00D844A1" w:rsidRPr="007202BF" w:rsidRDefault="00D844A1" w:rsidP="004A761F">
            <w:pPr>
              <w:rPr>
                <w:b/>
                <w:sz w:val="20"/>
                <w:szCs w:val="20"/>
              </w:rPr>
            </w:pPr>
          </w:p>
          <w:p w:rsidR="00D844A1" w:rsidRPr="007202BF" w:rsidRDefault="00D844A1" w:rsidP="004A761F">
            <w:pPr>
              <w:rPr>
                <w:b/>
                <w:sz w:val="20"/>
                <w:szCs w:val="20"/>
              </w:rPr>
            </w:pPr>
          </w:p>
          <w:p w:rsidR="00D844A1" w:rsidRDefault="00D844A1" w:rsidP="004A761F">
            <w:pPr>
              <w:rPr>
                <w:b/>
                <w:sz w:val="20"/>
                <w:szCs w:val="20"/>
              </w:rPr>
            </w:pPr>
          </w:p>
        </w:tc>
        <w:tc>
          <w:tcPr>
            <w:tcW w:w="1087" w:type="dxa"/>
            <w:vAlign w:val="center"/>
          </w:tcPr>
          <w:p w:rsidR="00D844A1" w:rsidRPr="00E74CE6" w:rsidRDefault="00D844A1" w:rsidP="004A761F">
            <w:pPr>
              <w:jc w:val="center"/>
              <w:rPr>
                <w:rFonts w:ascii="Calibri" w:hAnsi="Calibri" w:cs="Calibri"/>
                <w:sz w:val="20"/>
                <w:szCs w:val="20"/>
              </w:rPr>
            </w:pPr>
            <w:r w:rsidRPr="00E74CE6">
              <w:rPr>
                <w:rFonts w:ascii="Calibri" w:hAnsi="Calibri" w:cs="Calibri"/>
                <w:sz w:val="20"/>
                <w:szCs w:val="20"/>
              </w:rPr>
              <w:t>Y</w:t>
            </w:r>
          </w:p>
        </w:tc>
        <w:tc>
          <w:tcPr>
            <w:tcW w:w="3431" w:type="dxa"/>
          </w:tcPr>
          <w:p w:rsidR="00D844A1" w:rsidRPr="0008564D" w:rsidRDefault="00ED297A" w:rsidP="004A761F">
            <w:pPr>
              <w:rPr>
                <w:rFonts w:ascii="Calibri" w:hAnsi="Calibri" w:cs="Calibri"/>
                <w:b/>
                <w:sz w:val="20"/>
                <w:szCs w:val="20"/>
              </w:rPr>
            </w:pPr>
            <w:hyperlink r:id="rId8" w:history="1">
              <w:r w:rsidR="00D844A1" w:rsidRPr="0008564D">
                <w:rPr>
                  <w:rStyle w:val="Hyperlink"/>
                  <w:rFonts w:ascii="Calibri" w:hAnsi="Calibri" w:cs="Calibri"/>
                  <w:b/>
                  <w:sz w:val="20"/>
                  <w:szCs w:val="20"/>
                </w:rPr>
                <w:t>Page 4 &amp; 5 of the 2015 GIS</w:t>
              </w:r>
            </w:hyperlink>
            <w:r w:rsidR="00D844A1" w:rsidRPr="0008564D">
              <w:rPr>
                <w:rFonts w:ascii="Calibri" w:hAnsi="Calibri" w:cs="Calibri"/>
                <w:b/>
                <w:sz w:val="20"/>
                <w:szCs w:val="20"/>
              </w:rPr>
              <w:t xml:space="preserve"> of the Company provide the identity of the beneficial owners of the company with 5% shareholding or more</w:t>
            </w:r>
          </w:p>
          <w:p w:rsidR="00D844A1" w:rsidRPr="0008564D" w:rsidRDefault="00D844A1" w:rsidP="004A761F">
            <w:pPr>
              <w:rPr>
                <w:rFonts w:ascii="Calibri" w:hAnsi="Calibri" w:cs="Calibri"/>
                <w:b/>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D.1.2</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Does the company disclose the direct and indirect (deemed) shareholdings of major and/or substantial shareholders?</w:t>
            </w:r>
          </w:p>
        </w:tc>
        <w:tc>
          <w:tcPr>
            <w:tcW w:w="4252" w:type="dxa"/>
            <w:vMerge/>
          </w:tcPr>
          <w:p w:rsidR="00D844A1" w:rsidRDefault="00D844A1" w:rsidP="004A761F">
            <w:pPr>
              <w:rPr>
                <w:b/>
                <w:sz w:val="20"/>
                <w:szCs w:val="20"/>
              </w:rPr>
            </w:pPr>
          </w:p>
        </w:tc>
        <w:tc>
          <w:tcPr>
            <w:tcW w:w="1087" w:type="dxa"/>
            <w:vAlign w:val="center"/>
          </w:tcPr>
          <w:p w:rsidR="00D844A1" w:rsidRPr="00E74CE6" w:rsidRDefault="00D844A1" w:rsidP="004A761F">
            <w:pPr>
              <w:jc w:val="center"/>
              <w:rPr>
                <w:rFonts w:ascii="Calibri" w:hAnsi="Calibri" w:cs="Calibri"/>
                <w:sz w:val="20"/>
                <w:szCs w:val="20"/>
              </w:rPr>
            </w:pPr>
            <w:r w:rsidRPr="00E74CE6">
              <w:rPr>
                <w:rFonts w:ascii="Calibri" w:hAnsi="Calibri" w:cs="Calibri"/>
                <w:sz w:val="20"/>
                <w:szCs w:val="20"/>
              </w:rPr>
              <w:t>Y</w:t>
            </w:r>
          </w:p>
        </w:tc>
        <w:tc>
          <w:tcPr>
            <w:tcW w:w="3431" w:type="dxa"/>
          </w:tcPr>
          <w:p w:rsidR="00D844A1" w:rsidRPr="0008564D" w:rsidRDefault="00D844A1" w:rsidP="004A761F">
            <w:pPr>
              <w:rPr>
                <w:rFonts w:ascii="Calibri" w:hAnsi="Calibri" w:cs="Calibri"/>
                <w:b/>
                <w:sz w:val="20"/>
                <w:szCs w:val="20"/>
              </w:rPr>
            </w:pPr>
          </w:p>
          <w:p w:rsidR="00D844A1" w:rsidRPr="0008564D" w:rsidRDefault="00ED297A" w:rsidP="004A761F">
            <w:pPr>
              <w:rPr>
                <w:rFonts w:ascii="Calibri" w:hAnsi="Calibri" w:cs="Calibri"/>
                <w:b/>
                <w:sz w:val="20"/>
                <w:szCs w:val="20"/>
              </w:rPr>
            </w:pPr>
            <w:hyperlink r:id="rId9" w:history="1">
              <w:r w:rsidR="00D844A1" w:rsidRPr="0008564D">
                <w:rPr>
                  <w:rStyle w:val="Hyperlink"/>
                  <w:rFonts w:ascii="Calibri" w:hAnsi="Calibri" w:cs="Calibri"/>
                  <w:b/>
                  <w:sz w:val="20"/>
                  <w:szCs w:val="20"/>
                </w:rPr>
                <w:t>General Information Sheet</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D.1.3</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Does the company disclose the direct and indirect (deemed) shareholdings of directors (commissioners)?</w:t>
            </w:r>
          </w:p>
        </w:tc>
        <w:tc>
          <w:tcPr>
            <w:tcW w:w="4252" w:type="dxa"/>
            <w:vMerge/>
          </w:tcPr>
          <w:p w:rsidR="00D844A1" w:rsidRDefault="00D844A1" w:rsidP="004A761F">
            <w:pPr>
              <w:rPr>
                <w:b/>
                <w:sz w:val="20"/>
                <w:szCs w:val="20"/>
              </w:rPr>
            </w:pPr>
          </w:p>
        </w:tc>
        <w:tc>
          <w:tcPr>
            <w:tcW w:w="1087" w:type="dxa"/>
            <w:vAlign w:val="center"/>
          </w:tcPr>
          <w:p w:rsidR="00D844A1" w:rsidRPr="00E74CE6" w:rsidRDefault="00D844A1" w:rsidP="004A761F">
            <w:pPr>
              <w:jc w:val="center"/>
              <w:rPr>
                <w:rFonts w:ascii="Calibri" w:hAnsi="Calibri" w:cs="Calibri"/>
                <w:sz w:val="20"/>
                <w:szCs w:val="20"/>
              </w:rPr>
            </w:pPr>
            <w:r w:rsidRPr="00E74CE6">
              <w:rPr>
                <w:rFonts w:ascii="Calibri" w:hAnsi="Calibri" w:cs="Calibri"/>
                <w:sz w:val="20"/>
                <w:szCs w:val="20"/>
              </w:rPr>
              <w:t>Y</w:t>
            </w:r>
          </w:p>
        </w:tc>
        <w:tc>
          <w:tcPr>
            <w:tcW w:w="3431" w:type="dxa"/>
            <w:vAlign w:val="center"/>
          </w:tcPr>
          <w:p w:rsidR="00D844A1" w:rsidRPr="0008564D" w:rsidRDefault="00ED297A" w:rsidP="004A761F">
            <w:pPr>
              <w:rPr>
                <w:rFonts w:ascii="Calibri" w:hAnsi="Calibri" w:cs="Calibri"/>
                <w:b/>
                <w:sz w:val="20"/>
                <w:szCs w:val="20"/>
              </w:rPr>
            </w:pPr>
            <w:hyperlink r:id="rId10" w:history="1">
              <w:r w:rsidR="00D844A1" w:rsidRPr="0008564D">
                <w:rPr>
                  <w:rStyle w:val="Hyperlink"/>
                  <w:rFonts w:ascii="Calibri" w:hAnsi="Calibri" w:cs="Calibri"/>
                  <w:b/>
                  <w:sz w:val="20"/>
                  <w:szCs w:val="20"/>
                </w:rPr>
                <w:t>General Information Sheet</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D.1.4</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Does the company disclose the direct and indirect (deemed) shareholdings of senior management?</w:t>
            </w:r>
          </w:p>
        </w:tc>
        <w:tc>
          <w:tcPr>
            <w:tcW w:w="4252" w:type="dxa"/>
            <w:vMerge/>
          </w:tcPr>
          <w:p w:rsidR="00D844A1" w:rsidRDefault="00D844A1" w:rsidP="004A761F">
            <w:pPr>
              <w:rPr>
                <w:b/>
                <w:sz w:val="20"/>
                <w:szCs w:val="20"/>
              </w:rPr>
            </w:pPr>
          </w:p>
        </w:tc>
        <w:tc>
          <w:tcPr>
            <w:tcW w:w="1087" w:type="dxa"/>
            <w:vAlign w:val="center"/>
          </w:tcPr>
          <w:p w:rsidR="00D844A1" w:rsidRPr="00E74CE6" w:rsidRDefault="00D844A1" w:rsidP="004A761F">
            <w:pPr>
              <w:jc w:val="center"/>
              <w:rPr>
                <w:rFonts w:ascii="Calibri" w:hAnsi="Calibri" w:cs="Calibri"/>
                <w:sz w:val="20"/>
                <w:szCs w:val="20"/>
              </w:rPr>
            </w:pPr>
            <w:r w:rsidRPr="00E74CE6">
              <w:rPr>
                <w:rFonts w:ascii="Calibri" w:hAnsi="Calibri" w:cs="Calibri"/>
                <w:sz w:val="20"/>
                <w:szCs w:val="20"/>
              </w:rPr>
              <w:t>Y</w:t>
            </w:r>
          </w:p>
        </w:tc>
        <w:tc>
          <w:tcPr>
            <w:tcW w:w="3431" w:type="dxa"/>
            <w:vAlign w:val="center"/>
          </w:tcPr>
          <w:p w:rsidR="00D844A1" w:rsidRPr="0008564D" w:rsidRDefault="00ED297A" w:rsidP="004A761F">
            <w:pPr>
              <w:rPr>
                <w:rFonts w:ascii="Calibri" w:hAnsi="Calibri" w:cs="Calibri"/>
                <w:b/>
                <w:sz w:val="20"/>
                <w:szCs w:val="20"/>
              </w:rPr>
            </w:pPr>
            <w:hyperlink r:id="rId11" w:history="1">
              <w:r w:rsidR="00D844A1" w:rsidRPr="0008564D">
                <w:rPr>
                  <w:rStyle w:val="Hyperlink"/>
                  <w:rFonts w:ascii="Calibri" w:hAnsi="Calibri" w:cs="Calibri"/>
                  <w:b/>
                  <w:sz w:val="20"/>
                  <w:szCs w:val="20"/>
                </w:rPr>
                <w:t>General Information Sheet</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D.1.5</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Does the company disclose details of the parent/holding company, subsidiaries, associates, joint ventures and</w:t>
            </w:r>
            <w:r>
              <w:rPr>
                <w:rFonts w:ascii="Calibri" w:hAnsi="Calibri" w:cs="Calibri"/>
                <w:b/>
                <w:bCs/>
                <w:sz w:val="20"/>
                <w:szCs w:val="20"/>
              </w:rPr>
              <w:t xml:space="preserve"> </w:t>
            </w:r>
            <w:r>
              <w:rPr>
                <w:rFonts w:ascii="Calibri" w:hAnsi="Calibri" w:cs="Calibri"/>
                <w:sz w:val="20"/>
                <w:szCs w:val="20"/>
              </w:rPr>
              <w:t>special purpose enterprises/ vehicles (SPEs)/ (SPVs)?</w:t>
            </w:r>
          </w:p>
        </w:tc>
        <w:tc>
          <w:tcPr>
            <w:tcW w:w="4252" w:type="dxa"/>
            <w:vMerge/>
          </w:tcPr>
          <w:p w:rsidR="00D844A1" w:rsidRDefault="00D844A1" w:rsidP="004A761F">
            <w:pPr>
              <w:rPr>
                <w:b/>
                <w:sz w:val="20"/>
                <w:szCs w:val="20"/>
              </w:rPr>
            </w:pPr>
          </w:p>
        </w:tc>
        <w:tc>
          <w:tcPr>
            <w:tcW w:w="1087" w:type="dxa"/>
            <w:vAlign w:val="center"/>
          </w:tcPr>
          <w:p w:rsidR="00D844A1" w:rsidRPr="00E74CE6" w:rsidRDefault="00D844A1" w:rsidP="004A761F">
            <w:pPr>
              <w:jc w:val="center"/>
              <w:rPr>
                <w:rFonts w:ascii="Calibri" w:hAnsi="Calibri" w:cs="Calibri"/>
                <w:sz w:val="20"/>
                <w:szCs w:val="20"/>
              </w:rPr>
            </w:pPr>
            <w:r w:rsidRPr="00E74CE6">
              <w:rPr>
                <w:rFonts w:ascii="Calibri" w:hAnsi="Calibri" w:cs="Calibri"/>
                <w:sz w:val="20"/>
                <w:szCs w:val="20"/>
              </w:rPr>
              <w:t>Y</w:t>
            </w:r>
          </w:p>
        </w:tc>
        <w:tc>
          <w:tcPr>
            <w:tcW w:w="3431" w:type="dxa"/>
            <w:vAlign w:val="center"/>
          </w:tcPr>
          <w:p w:rsidR="00D844A1" w:rsidRPr="0008564D" w:rsidRDefault="00ED297A" w:rsidP="004A761F">
            <w:pPr>
              <w:rPr>
                <w:rFonts w:ascii="Calibri" w:hAnsi="Calibri" w:cs="Calibri"/>
                <w:b/>
                <w:sz w:val="20"/>
                <w:szCs w:val="20"/>
              </w:rPr>
            </w:pPr>
            <w:hyperlink r:id="rId12" w:history="1">
              <w:r w:rsidR="00D844A1" w:rsidRPr="0008564D">
                <w:rPr>
                  <w:rStyle w:val="Hyperlink"/>
                  <w:rFonts w:ascii="Calibri" w:hAnsi="Calibri" w:cs="Calibri"/>
                  <w:b/>
                  <w:sz w:val="20"/>
                  <w:szCs w:val="20"/>
                </w:rPr>
                <w:t>General Information Sheet</w:t>
              </w:r>
            </w:hyperlink>
          </w:p>
        </w:tc>
      </w:tr>
      <w:tr w:rsidR="00D844A1" w:rsidTr="004A761F">
        <w:tc>
          <w:tcPr>
            <w:tcW w:w="14616" w:type="dxa"/>
            <w:gridSpan w:val="5"/>
            <w:tcBorders>
              <w:left w:val="single" w:sz="4" w:space="0" w:color="000000" w:themeColor="text1"/>
              <w:bottom w:val="single" w:sz="4" w:space="0" w:color="000000" w:themeColor="text1"/>
            </w:tcBorders>
            <w:vAlign w:val="center"/>
          </w:tcPr>
          <w:p w:rsidR="00D844A1" w:rsidRDefault="00D844A1" w:rsidP="004A761F">
            <w:pPr>
              <w:jc w:val="center"/>
              <w:rPr>
                <w:b/>
                <w:sz w:val="20"/>
                <w:szCs w:val="20"/>
              </w:rPr>
            </w:pPr>
          </w:p>
        </w:tc>
      </w:tr>
      <w:tr w:rsidR="00D844A1" w:rsidTr="004A761F">
        <w:tc>
          <w:tcPr>
            <w:tcW w:w="14616" w:type="dxa"/>
            <w:gridSpan w:val="5"/>
            <w:tcBorders>
              <w:left w:val="single" w:sz="4" w:space="0" w:color="000000" w:themeColor="text1"/>
              <w:bottom w:val="single" w:sz="4" w:space="0" w:color="000000" w:themeColor="text1"/>
            </w:tcBorders>
            <w:shd w:val="clear" w:color="auto" w:fill="FFCC99"/>
            <w:vAlign w:val="center"/>
          </w:tcPr>
          <w:p w:rsidR="00D844A1" w:rsidRDefault="00D844A1" w:rsidP="004A761F">
            <w:pPr>
              <w:jc w:val="center"/>
              <w:rPr>
                <w:b/>
                <w:sz w:val="20"/>
                <w:szCs w:val="20"/>
              </w:rPr>
            </w:pPr>
            <w:r>
              <w:br w:type="page"/>
            </w:r>
            <w:r>
              <w:rPr>
                <w:b/>
                <w:sz w:val="20"/>
                <w:szCs w:val="20"/>
              </w:rPr>
              <w:t>D.2 Quality of Annual Report</w:t>
            </w: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cs="Calibri"/>
                <w:sz w:val="20"/>
                <w:szCs w:val="20"/>
              </w:rPr>
            </w:pPr>
            <w:r w:rsidRPr="008E26CB">
              <w:rPr>
                <w:rFonts w:ascii="Calibri" w:hAnsi="Calibri" w:cs="Calibri"/>
                <w:b/>
                <w:i/>
                <w:sz w:val="20"/>
                <w:szCs w:val="20"/>
              </w:rPr>
              <w:t>Does the company’s annual report disclose the following items:</w:t>
            </w:r>
          </w:p>
        </w:tc>
        <w:tc>
          <w:tcPr>
            <w:tcW w:w="4252" w:type="dxa"/>
            <w:tcBorders>
              <w:top w:val="single" w:sz="4" w:space="0" w:color="000000" w:themeColor="text1"/>
              <w:left w:val="nil"/>
              <w:bottom w:val="single" w:sz="4" w:space="0" w:color="000000" w:themeColor="text1"/>
              <w:right w:val="nil"/>
            </w:tcBorders>
          </w:tcPr>
          <w:p w:rsidR="00D844A1" w:rsidRPr="00904BA9" w:rsidRDefault="00D844A1" w:rsidP="004A761F">
            <w:pPr>
              <w:rPr>
                <w:b/>
                <w:sz w:val="18"/>
                <w:szCs w:val="20"/>
              </w:rPr>
            </w:pPr>
          </w:p>
        </w:tc>
        <w:tc>
          <w:tcPr>
            <w:tcW w:w="1087" w:type="dxa"/>
            <w:tcBorders>
              <w:top w:val="single" w:sz="4" w:space="0" w:color="000000" w:themeColor="text1"/>
              <w:left w:val="nil"/>
              <w:bottom w:val="single" w:sz="4" w:space="0" w:color="000000" w:themeColor="text1"/>
              <w:right w:val="nil"/>
            </w:tcBorders>
            <w:vAlign w:val="center"/>
          </w:tcPr>
          <w:p w:rsidR="00D844A1" w:rsidRDefault="00D844A1" w:rsidP="004A761F">
            <w:pPr>
              <w:jc w:val="cente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D.2.1</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Key risks</w:t>
            </w:r>
          </w:p>
        </w:tc>
        <w:tc>
          <w:tcPr>
            <w:tcW w:w="4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Pr="00904BA9" w:rsidRDefault="00D844A1" w:rsidP="004A761F">
            <w:pPr>
              <w:rPr>
                <w:b/>
                <w:sz w:val="18"/>
                <w:szCs w:val="20"/>
              </w:rPr>
            </w:pPr>
            <w:r w:rsidRPr="00904BA9">
              <w:rPr>
                <w:b/>
                <w:sz w:val="18"/>
                <w:szCs w:val="20"/>
              </w:rPr>
              <w:t xml:space="preserve">"OECD Principle V (A): </w:t>
            </w:r>
          </w:p>
          <w:p w:rsidR="00D844A1" w:rsidRPr="00904BA9" w:rsidRDefault="00D844A1" w:rsidP="004A761F">
            <w:pPr>
              <w:rPr>
                <w:b/>
                <w:sz w:val="18"/>
                <w:szCs w:val="20"/>
              </w:rPr>
            </w:pPr>
            <w:r w:rsidRPr="00904BA9">
              <w:rPr>
                <w:b/>
                <w:sz w:val="18"/>
                <w:szCs w:val="20"/>
              </w:rPr>
              <w:t>(1) The financial and operating results of the company;</w:t>
            </w:r>
          </w:p>
          <w:p w:rsidR="00D844A1" w:rsidRPr="00904BA9" w:rsidRDefault="00D844A1" w:rsidP="004A761F">
            <w:pPr>
              <w:rPr>
                <w:b/>
                <w:sz w:val="18"/>
                <w:szCs w:val="20"/>
              </w:rPr>
            </w:pPr>
            <w:r w:rsidRPr="00904BA9">
              <w:rPr>
                <w:b/>
                <w:sz w:val="18"/>
                <w:szCs w:val="20"/>
              </w:rPr>
              <w:t>(2) Company objectives, including ethics, environment, and other public policy commitments;</w:t>
            </w:r>
          </w:p>
          <w:p w:rsidR="00D844A1" w:rsidRPr="00904BA9" w:rsidRDefault="00D844A1" w:rsidP="004A761F">
            <w:pPr>
              <w:rPr>
                <w:b/>
                <w:sz w:val="18"/>
                <w:szCs w:val="20"/>
              </w:rPr>
            </w:pPr>
            <w:r w:rsidRPr="00904BA9">
              <w:rPr>
                <w:b/>
                <w:sz w:val="18"/>
                <w:szCs w:val="20"/>
              </w:rPr>
              <w:t>(3) Major share ownership and voting rights, including group structures, intra-group relations, ownership data, beneficial ownership;</w:t>
            </w:r>
          </w:p>
          <w:p w:rsidR="00D844A1" w:rsidRPr="00904BA9" w:rsidRDefault="00D844A1" w:rsidP="004A761F">
            <w:pPr>
              <w:rPr>
                <w:b/>
                <w:sz w:val="18"/>
                <w:szCs w:val="20"/>
              </w:rPr>
            </w:pPr>
            <w:r w:rsidRPr="00904BA9">
              <w:rPr>
                <w:b/>
                <w:sz w:val="18"/>
                <w:szCs w:val="20"/>
              </w:rPr>
              <w:t>(4) Remuneration policy for members of the board and key executives, including their qualifications, the selection process, other company directorships and whether they are regarded as independent by the board;</w:t>
            </w:r>
          </w:p>
          <w:p w:rsidR="00D844A1" w:rsidRPr="00904BA9" w:rsidRDefault="00D844A1" w:rsidP="004A761F">
            <w:pPr>
              <w:rPr>
                <w:b/>
                <w:sz w:val="18"/>
                <w:szCs w:val="20"/>
              </w:rPr>
            </w:pPr>
            <w:r w:rsidRPr="00904BA9">
              <w:rPr>
                <w:b/>
                <w:sz w:val="18"/>
                <w:szCs w:val="20"/>
              </w:rPr>
              <w:t>(6) Foreseeable risk factors, including risk management system;</w:t>
            </w:r>
          </w:p>
          <w:p w:rsidR="00D844A1" w:rsidRPr="00904BA9" w:rsidRDefault="00D844A1" w:rsidP="004A761F">
            <w:pPr>
              <w:rPr>
                <w:b/>
                <w:sz w:val="18"/>
                <w:szCs w:val="20"/>
              </w:rPr>
            </w:pPr>
            <w:r w:rsidRPr="00904BA9">
              <w:rPr>
                <w:b/>
                <w:sz w:val="18"/>
                <w:szCs w:val="20"/>
              </w:rPr>
              <w:t>(7) Issues regarding employees and other stakeholders;</w:t>
            </w:r>
          </w:p>
          <w:p w:rsidR="00D844A1" w:rsidRPr="00904BA9" w:rsidRDefault="00D844A1" w:rsidP="004A761F">
            <w:pPr>
              <w:rPr>
                <w:b/>
                <w:sz w:val="18"/>
                <w:szCs w:val="20"/>
              </w:rPr>
            </w:pPr>
            <w:r w:rsidRPr="00904BA9">
              <w:rPr>
                <w:b/>
                <w:sz w:val="18"/>
                <w:szCs w:val="20"/>
              </w:rPr>
              <w:t xml:space="preserve">(8) Governance structure and policies, in particular, </w:t>
            </w:r>
            <w:r w:rsidRPr="00904BA9">
              <w:rPr>
                <w:b/>
                <w:sz w:val="18"/>
                <w:szCs w:val="20"/>
              </w:rPr>
              <w:lastRenderedPageBreak/>
              <w:t>the content of any corporate governance code or policy and the process by which it is implemented.</w:t>
            </w:r>
          </w:p>
          <w:p w:rsidR="00D844A1" w:rsidRPr="00904BA9" w:rsidRDefault="00D844A1" w:rsidP="004A761F">
            <w:pPr>
              <w:rPr>
                <w:b/>
                <w:sz w:val="18"/>
                <w:szCs w:val="20"/>
              </w:rPr>
            </w:pPr>
          </w:p>
          <w:p w:rsidR="00D844A1" w:rsidRPr="00904BA9" w:rsidRDefault="00D844A1" w:rsidP="004A761F">
            <w:pPr>
              <w:rPr>
                <w:b/>
                <w:sz w:val="18"/>
                <w:szCs w:val="20"/>
              </w:rPr>
            </w:pPr>
            <w:r w:rsidRPr="00904BA9">
              <w:rPr>
                <w:b/>
                <w:sz w:val="18"/>
                <w:szCs w:val="20"/>
              </w:rPr>
              <w:t xml:space="preserve">OECD Principle V (E): </w:t>
            </w:r>
          </w:p>
          <w:p w:rsidR="00D844A1" w:rsidRPr="00904BA9" w:rsidRDefault="00D844A1" w:rsidP="004A761F">
            <w:pPr>
              <w:rPr>
                <w:b/>
                <w:sz w:val="18"/>
                <w:szCs w:val="20"/>
              </w:rPr>
            </w:pPr>
            <w:r w:rsidRPr="00904BA9">
              <w:rPr>
                <w:b/>
                <w:sz w:val="18"/>
                <w:szCs w:val="20"/>
              </w:rPr>
              <w:t>Channels for disseminating information should provide for equal, timely and cost-efficient access to relevant information by users.</w:t>
            </w:r>
          </w:p>
          <w:p w:rsidR="00D844A1" w:rsidRPr="00904BA9" w:rsidRDefault="00D844A1" w:rsidP="004A761F">
            <w:pPr>
              <w:rPr>
                <w:b/>
                <w:sz w:val="18"/>
                <w:szCs w:val="20"/>
              </w:rPr>
            </w:pPr>
          </w:p>
          <w:p w:rsidR="00D844A1" w:rsidRPr="00904BA9" w:rsidRDefault="00D844A1" w:rsidP="004A761F">
            <w:pPr>
              <w:rPr>
                <w:b/>
                <w:sz w:val="18"/>
                <w:szCs w:val="20"/>
              </w:rPr>
            </w:pPr>
            <w:r w:rsidRPr="00904BA9">
              <w:rPr>
                <w:b/>
                <w:sz w:val="18"/>
                <w:szCs w:val="20"/>
              </w:rPr>
              <w:t>ICGN 2.4 Composition and structure of the board</w:t>
            </w:r>
          </w:p>
          <w:p w:rsidR="00D844A1" w:rsidRPr="00904BA9" w:rsidRDefault="00D844A1" w:rsidP="004A761F">
            <w:pPr>
              <w:rPr>
                <w:b/>
                <w:sz w:val="18"/>
                <w:szCs w:val="20"/>
              </w:rPr>
            </w:pPr>
            <w:r w:rsidRPr="00904BA9">
              <w:rPr>
                <w:b/>
                <w:sz w:val="18"/>
                <w:szCs w:val="20"/>
              </w:rPr>
              <w:t>ICGN 2.4.1 Skills and experience</w:t>
            </w:r>
          </w:p>
          <w:p w:rsidR="00D844A1" w:rsidRPr="00904BA9" w:rsidRDefault="00D844A1" w:rsidP="004A761F">
            <w:pPr>
              <w:rPr>
                <w:b/>
                <w:sz w:val="18"/>
                <w:szCs w:val="20"/>
              </w:rPr>
            </w:pPr>
            <w:r w:rsidRPr="00904BA9">
              <w:rPr>
                <w:b/>
                <w:sz w:val="18"/>
                <w:szCs w:val="20"/>
              </w:rPr>
              <w:t>ICGN 2.4.3 Independence</w:t>
            </w:r>
          </w:p>
          <w:p w:rsidR="00D844A1" w:rsidRPr="00904BA9" w:rsidRDefault="00D844A1" w:rsidP="004A761F">
            <w:pPr>
              <w:rPr>
                <w:b/>
                <w:sz w:val="18"/>
                <w:szCs w:val="20"/>
              </w:rPr>
            </w:pPr>
          </w:p>
          <w:p w:rsidR="00D844A1" w:rsidRPr="00904BA9" w:rsidRDefault="00D844A1" w:rsidP="004A761F">
            <w:pPr>
              <w:rPr>
                <w:b/>
                <w:sz w:val="18"/>
                <w:szCs w:val="20"/>
              </w:rPr>
            </w:pPr>
            <w:r w:rsidRPr="00904BA9">
              <w:rPr>
                <w:b/>
                <w:sz w:val="18"/>
                <w:szCs w:val="20"/>
              </w:rPr>
              <w:t>ICGN 5.0 Remuneration</w:t>
            </w:r>
          </w:p>
          <w:p w:rsidR="00D844A1" w:rsidRPr="00904BA9" w:rsidRDefault="00D844A1" w:rsidP="004A761F">
            <w:pPr>
              <w:rPr>
                <w:b/>
                <w:sz w:val="18"/>
                <w:szCs w:val="20"/>
              </w:rPr>
            </w:pPr>
            <w:r w:rsidRPr="00904BA9">
              <w:rPr>
                <w:b/>
                <w:sz w:val="18"/>
                <w:szCs w:val="20"/>
              </w:rPr>
              <w:t>ICGN 5.4 Transparency</w:t>
            </w:r>
          </w:p>
          <w:p w:rsidR="00D844A1" w:rsidRPr="00904BA9" w:rsidRDefault="00D844A1" w:rsidP="004A761F">
            <w:pPr>
              <w:rPr>
                <w:b/>
                <w:sz w:val="18"/>
                <w:szCs w:val="20"/>
              </w:rPr>
            </w:pPr>
          </w:p>
          <w:p w:rsidR="00D844A1" w:rsidRPr="00904BA9" w:rsidRDefault="00D844A1" w:rsidP="004A761F">
            <w:pPr>
              <w:rPr>
                <w:b/>
                <w:sz w:val="18"/>
                <w:szCs w:val="20"/>
              </w:rPr>
            </w:pPr>
            <w:r w:rsidRPr="00904BA9">
              <w:rPr>
                <w:b/>
                <w:sz w:val="18"/>
                <w:szCs w:val="20"/>
              </w:rPr>
              <w:t xml:space="preserve">UK Corporate Governance Code (2010) </w:t>
            </w:r>
          </w:p>
          <w:p w:rsidR="00D844A1" w:rsidRPr="00904BA9" w:rsidRDefault="00D844A1" w:rsidP="004A761F">
            <w:pPr>
              <w:rPr>
                <w:b/>
                <w:sz w:val="18"/>
                <w:szCs w:val="20"/>
              </w:rPr>
            </w:pPr>
            <w:r w:rsidRPr="00904BA9">
              <w:rPr>
                <w:b/>
                <w:sz w:val="18"/>
                <w:szCs w:val="20"/>
              </w:rPr>
              <w:t>A.1.2 - the number of meetings of the board and those committees and individual attendance by directors.</w:t>
            </w:r>
          </w:p>
          <w:p w:rsidR="00D844A1" w:rsidRPr="00904BA9" w:rsidRDefault="00D844A1" w:rsidP="004A761F">
            <w:pPr>
              <w:rPr>
                <w:b/>
                <w:sz w:val="18"/>
                <w:szCs w:val="20"/>
              </w:rPr>
            </w:pPr>
          </w:p>
          <w:p w:rsidR="00D844A1" w:rsidRPr="00904BA9" w:rsidRDefault="00D844A1" w:rsidP="004A761F">
            <w:pPr>
              <w:rPr>
                <w:b/>
                <w:sz w:val="18"/>
                <w:szCs w:val="20"/>
              </w:rPr>
            </w:pPr>
            <w:r w:rsidRPr="00904BA9">
              <w:rPr>
                <w:b/>
                <w:sz w:val="18"/>
                <w:szCs w:val="20"/>
              </w:rPr>
              <w:t>CLSA-ACGA (2010) CG Watch 2010 - Appendix 2</w:t>
            </w:r>
          </w:p>
          <w:p w:rsidR="00D844A1" w:rsidRPr="00904BA9" w:rsidRDefault="00D844A1" w:rsidP="004A761F">
            <w:pPr>
              <w:rPr>
                <w:b/>
                <w:sz w:val="18"/>
                <w:szCs w:val="20"/>
              </w:rPr>
            </w:pPr>
            <w:r w:rsidRPr="00904BA9">
              <w:rPr>
                <w:b/>
                <w:sz w:val="18"/>
                <w:szCs w:val="20"/>
              </w:rPr>
              <w:t>(I) CG rules and practices</w:t>
            </w:r>
          </w:p>
          <w:p w:rsidR="00D844A1" w:rsidRDefault="00D844A1" w:rsidP="004A761F">
            <w:pPr>
              <w:rPr>
                <w:b/>
                <w:sz w:val="20"/>
                <w:szCs w:val="20"/>
              </w:rPr>
            </w:pPr>
            <w:r w:rsidRPr="00904BA9">
              <w:rPr>
                <w:b/>
                <w:sz w:val="18"/>
                <w:szCs w:val="20"/>
              </w:rPr>
              <w:t>(19) Disclose the exact remuneration of individual directors.</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44A1" w:rsidRPr="001F0DCE" w:rsidRDefault="00D844A1" w:rsidP="004A761F">
            <w:pPr>
              <w:jc w:val="center"/>
              <w:rPr>
                <w:sz w:val="20"/>
                <w:szCs w:val="20"/>
              </w:rPr>
            </w:pPr>
            <w:r w:rsidRPr="001F0DCE">
              <w:rPr>
                <w:sz w:val="20"/>
                <w:szCs w:val="20"/>
              </w:rPr>
              <w:lastRenderedPageBreak/>
              <w:t>Y</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Pr="0008564D" w:rsidRDefault="00D844A1" w:rsidP="004A761F">
            <w:pPr>
              <w:rPr>
                <w:b/>
                <w:sz w:val="20"/>
                <w:szCs w:val="20"/>
              </w:rPr>
            </w:pPr>
            <w:r w:rsidRPr="0008564D">
              <w:rPr>
                <w:b/>
                <w:sz w:val="20"/>
                <w:szCs w:val="20"/>
              </w:rPr>
              <w:br/>
            </w:r>
            <w:hyperlink r:id="rId13" w:history="1">
              <w:r w:rsidRPr="0008564D">
                <w:rPr>
                  <w:rStyle w:val="Hyperlink"/>
                  <w:b/>
                  <w:sz w:val="20"/>
                  <w:szCs w:val="20"/>
                </w:rPr>
                <w:t>Company Website (Risk Management)</w:t>
              </w:r>
            </w:hyperlink>
          </w:p>
          <w:p w:rsidR="00D844A1" w:rsidRPr="0008564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D.2.2</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Corporate objectives</w:t>
            </w: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b/>
                <w:sz w:val="20"/>
                <w:szCs w:val="20"/>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44A1" w:rsidRPr="00D144EA" w:rsidRDefault="00D844A1" w:rsidP="004A761F">
            <w:pPr>
              <w:jc w:val="center"/>
              <w:rPr>
                <w:sz w:val="20"/>
                <w:szCs w:val="20"/>
              </w:rPr>
            </w:pPr>
            <w:r>
              <w:rPr>
                <w:sz w:val="20"/>
                <w:szCs w:val="20"/>
              </w:rPr>
              <w:t>Y</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Pr="0008564D" w:rsidRDefault="00D844A1" w:rsidP="004A761F">
            <w:pPr>
              <w:rPr>
                <w:b/>
                <w:sz w:val="20"/>
                <w:szCs w:val="20"/>
              </w:rPr>
            </w:pPr>
            <w:r w:rsidRPr="0008564D">
              <w:rPr>
                <w:b/>
                <w:sz w:val="20"/>
                <w:szCs w:val="20"/>
              </w:rPr>
              <w:t xml:space="preserve">The </w:t>
            </w:r>
            <w:hyperlink r:id="rId14" w:history="1">
              <w:r w:rsidRPr="0008564D">
                <w:rPr>
                  <w:rStyle w:val="Hyperlink"/>
                  <w:b/>
                  <w:sz w:val="20"/>
                  <w:szCs w:val="20"/>
                </w:rPr>
                <w:t>company website</w:t>
              </w:r>
            </w:hyperlink>
            <w:r w:rsidRPr="0008564D">
              <w:rPr>
                <w:b/>
                <w:sz w:val="20"/>
                <w:szCs w:val="20"/>
              </w:rPr>
              <w:t xml:space="preserve"> provides the company’s objective</w:t>
            </w:r>
          </w:p>
          <w:p w:rsidR="00D844A1" w:rsidRPr="0008564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D.2.3</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Financial performance indicators</w:t>
            </w: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b/>
                <w:sz w:val="20"/>
                <w:szCs w:val="20"/>
              </w:rPr>
            </w:pPr>
          </w:p>
        </w:tc>
        <w:tc>
          <w:tcPr>
            <w:tcW w:w="1087" w:type="dxa"/>
            <w:tcBorders>
              <w:top w:val="single" w:sz="4" w:space="0" w:color="000000" w:themeColor="text1"/>
              <w:left w:val="single" w:sz="4" w:space="0" w:color="000000" w:themeColor="text1"/>
              <w:bottom w:val="single" w:sz="4" w:space="0" w:color="auto"/>
              <w:right w:val="single" w:sz="4" w:space="0" w:color="auto"/>
            </w:tcBorders>
            <w:vAlign w:val="center"/>
          </w:tcPr>
          <w:p w:rsidR="00D844A1" w:rsidRDefault="00D844A1" w:rsidP="004A761F">
            <w:pPr>
              <w:jc w:val="center"/>
            </w:pPr>
            <w:r w:rsidRPr="00712196">
              <w:rPr>
                <w:sz w:val="20"/>
                <w:szCs w:val="20"/>
              </w:rPr>
              <w:t>Y</w:t>
            </w:r>
          </w:p>
        </w:tc>
        <w:tc>
          <w:tcPr>
            <w:tcW w:w="3431" w:type="dxa"/>
            <w:tcBorders>
              <w:top w:val="single" w:sz="4" w:space="0" w:color="000000" w:themeColor="text1"/>
              <w:left w:val="single" w:sz="4" w:space="0" w:color="auto"/>
              <w:bottom w:val="single" w:sz="4" w:space="0" w:color="auto"/>
              <w:right w:val="single" w:sz="4" w:space="0" w:color="000000" w:themeColor="text1"/>
            </w:tcBorders>
          </w:tcPr>
          <w:p w:rsidR="00D844A1" w:rsidRPr="0008564D" w:rsidRDefault="00D844A1" w:rsidP="004A761F">
            <w:pPr>
              <w:rPr>
                <w:b/>
                <w:sz w:val="20"/>
                <w:szCs w:val="20"/>
              </w:rPr>
            </w:pPr>
          </w:p>
          <w:p w:rsidR="00D844A1" w:rsidRPr="0008564D" w:rsidRDefault="00ED297A" w:rsidP="004A761F">
            <w:pPr>
              <w:rPr>
                <w:b/>
                <w:sz w:val="20"/>
                <w:szCs w:val="20"/>
              </w:rPr>
            </w:pPr>
            <w:hyperlink r:id="rId15" w:history="1">
              <w:r w:rsidR="00D844A1" w:rsidRPr="0008564D">
                <w:rPr>
                  <w:rStyle w:val="Hyperlink"/>
                  <w:b/>
                  <w:sz w:val="20"/>
                  <w:szCs w:val="20"/>
                </w:rPr>
                <w:t>Audited Financial Statement</w:t>
              </w:r>
            </w:hyperlink>
          </w:p>
          <w:p w:rsidR="00D844A1" w:rsidRPr="0008564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D.2.4</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Non-financial performance indicators</w:t>
            </w: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b/>
                <w:sz w:val="20"/>
                <w:szCs w:val="20"/>
              </w:rPr>
            </w:pPr>
          </w:p>
        </w:tc>
        <w:tc>
          <w:tcPr>
            <w:tcW w:w="1087" w:type="dxa"/>
            <w:tcBorders>
              <w:top w:val="single" w:sz="4" w:space="0" w:color="auto"/>
              <w:left w:val="single" w:sz="4" w:space="0" w:color="000000" w:themeColor="text1"/>
              <w:bottom w:val="single" w:sz="4" w:space="0" w:color="auto"/>
              <w:right w:val="single" w:sz="4" w:space="0" w:color="auto"/>
            </w:tcBorders>
            <w:vAlign w:val="center"/>
          </w:tcPr>
          <w:p w:rsidR="00D844A1" w:rsidRDefault="00D844A1" w:rsidP="004A761F">
            <w:pPr>
              <w:jc w:val="center"/>
            </w:pPr>
            <w:r w:rsidRPr="00712196">
              <w:rPr>
                <w:sz w:val="20"/>
                <w:szCs w:val="20"/>
              </w:rPr>
              <w:t>Y</w:t>
            </w:r>
          </w:p>
        </w:tc>
        <w:tc>
          <w:tcPr>
            <w:tcW w:w="3431" w:type="dxa"/>
            <w:tcBorders>
              <w:top w:val="single" w:sz="4" w:space="0" w:color="auto"/>
              <w:left w:val="single" w:sz="4" w:space="0" w:color="auto"/>
              <w:bottom w:val="single" w:sz="4" w:space="0" w:color="auto"/>
              <w:right w:val="single" w:sz="4" w:space="0" w:color="000000" w:themeColor="text1"/>
            </w:tcBorders>
          </w:tcPr>
          <w:p w:rsidR="00D844A1" w:rsidRPr="0008564D" w:rsidRDefault="00D844A1" w:rsidP="004A761F">
            <w:pPr>
              <w:rPr>
                <w:b/>
                <w:sz w:val="20"/>
                <w:szCs w:val="20"/>
              </w:rPr>
            </w:pPr>
          </w:p>
          <w:p w:rsidR="00D844A1" w:rsidRPr="0008564D" w:rsidRDefault="00ED297A" w:rsidP="004A761F">
            <w:pPr>
              <w:rPr>
                <w:b/>
                <w:sz w:val="20"/>
                <w:szCs w:val="20"/>
              </w:rPr>
            </w:pPr>
            <w:hyperlink r:id="rId16" w:history="1">
              <w:r w:rsidR="00D844A1" w:rsidRPr="0008564D">
                <w:rPr>
                  <w:rStyle w:val="Hyperlink"/>
                  <w:b/>
                  <w:sz w:val="20"/>
                  <w:szCs w:val="20"/>
                </w:rPr>
                <w:t>Audited Financial Statement</w:t>
              </w:r>
            </w:hyperlink>
          </w:p>
          <w:p w:rsidR="00D844A1" w:rsidRPr="0008564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D.2.5</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 xml:space="preserve">Dividend policy </w:t>
            </w: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b/>
                <w:sz w:val="20"/>
                <w:szCs w:val="20"/>
              </w:rPr>
            </w:pPr>
          </w:p>
        </w:tc>
        <w:tc>
          <w:tcPr>
            <w:tcW w:w="1087" w:type="dxa"/>
            <w:tcBorders>
              <w:top w:val="single" w:sz="4" w:space="0" w:color="auto"/>
              <w:left w:val="single" w:sz="4" w:space="0" w:color="000000" w:themeColor="text1"/>
              <w:bottom w:val="single" w:sz="4" w:space="0" w:color="auto"/>
              <w:right w:val="single" w:sz="4" w:space="0" w:color="auto"/>
            </w:tcBorders>
            <w:vAlign w:val="center"/>
          </w:tcPr>
          <w:p w:rsidR="00D844A1" w:rsidRDefault="00D844A1" w:rsidP="004A761F">
            <w:pPr>
              <w:jc w:val="center"/>
            </w:pPr>
            <w:r w:rsidRPr="00712196">
              <w:rPr>
                <w:sz w:val="20"/>
                <w:szCs w:val="20"/>
              </w:rPr>
              <w:t>Y</w:t>
            </w:r>
          </w:p>
        </w:tc>
        <w:tc>
          <w:tcPr>
            <w:tcW w:w="3431" w:type="dxa"/>
            <w:tcBorders>
              <w:top w:val="single" w:sz="4" w:space="0" w:color="auto"/>
              <w:left w:val="single" w:sz="4" w:space="0" w:color="auto"/>
              <w:bottom w:val="single" w:sz="4" w:space="0" w:color="auto"/>
              <w:right w:val="single" w:sz="4" w:space="0" w:color="000000" w:themeColor="text1"/>
            </w:tcBorders>
          </w:tcPr>
          <w:p w:rsidR="00D844A1" w:rsidRPr="0008564D" w:rsidRDefault="00ED297A" w:rsidP="004A761F">
            <w:pPr>
              <w:rPr>
                <w:b/>
                <w:sz w:val="20"/>
                <w:szCs w:val="20"/>
              </w:rPr>
            </w:pPr>
            <w:hyperlink r:id="rId17" w:history="1">
              <w:r w:rsidR="00D844A1" w:rsidRPr="0008564D">
                <w:rPr>
                  <w:rStyle w:val="Hyperlink"/>
                  <w:b/>
                  <w:sz w:val="20"/>
                  <w:szCs w:val="20"/>
                </w:rPr>
                <w:t>The Art. VII, Sec. 3 of the Company’s By-laws provide the dividend policy</w:t>
              </w:r>
            </w:hyperlink>
          </w:p>
          <w:p w:rsidR="00D844A1" w:rsidRPr="0008564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D.2.6</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Details of whistle-blowing policy</w:t>
            </w: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b/>
                <w:sz w:val="20"/>
                <w:szCs w:val="20"/>
              </w:rPr>
            </w:pPr>
          </w:p>
        </w:tc>
        <w:tc>
          <w:tcPr>
            <w:tcW w:w="1087" w:type="dxa"/>
            <w:tcBorders>
              <w:top w:val="single" w:sz="4" w:space="0" w:color="auto"/>
              <w:left w:val="single" w:sz="4" w:space="0" w:color="000000" w:themeColor="text1"/>
              <w:bottom w:val="single" w:sz="4" w:space="0" w:color="auto"/>
              <w:right w:val="single" w:sz="4" w:space="0" w:color="auto"/>
            </w:tcBorders>
            <w:vAlign w:val="center"/>
          </w:tcPr>
          <w:p w:rsidR="00D844A1" w:rsidRPr="00E8695C" w:rsidRDefault="00D844A1" w:rsidP="004A761F">
            <w:pPr>
              <w:jc w:val="center"/>
              <w:rPr>
                <w:sz w:val="20"/>
                <w:szCs w:val="20"/>
              </w:rPr>
            </w:pPr>
            <w:r w:rsidRPr="00E8695C">
              <w:rPr>
                <w:sz w:val="20"/>
                <w:szCs w:val="20"/>
              </w:rPr>
              <w:t>Y</w:t>
            </w:r>
          </w:p>
        </w:tc>
        <w:tc>
          <w:tcPr>
            <w:tcW w:w="3431" w:type="dxa"/>
            <w:tcBorders>
              <w:top w:val="single" w:sz="4" w:space="0" w:color="auto"/>
              <w:left w:val="single" w:sz="4" w:space="0" w:color="auto"/>
              <w:bottom w:val="single" w:sz="4" w:space="0" w:color="auto"/>
              <w:right w:val="single" w:sz="4" w:space="0" w:color="000000" w:themeColor="text1"/>
            </w:tcBorders>
          </w:tcPr>
          <w:p w:rsidR="00D844A1" w:rsidRPr="0008564D" w:rsidRDefault="00ED297A" w:rsidP="004A761F">
            <w:pPr>
              <w:rPr>
                <w:b/>
                <w:sz w:val="20"/>
                <w:szCs w:val="20"/>
              </w:rPr>
            </w:pPr>
            <w:hyperlink r:id="rId18" w:history="1">
              <w:r w:rsidR="00D844A1" w:rsidRPr="0008564D">
                <w:rPr>
                  <w:rStyle w:val="Hyperlink"/>
                  <w:b/>
                  <w:sz w:val="20"/>
                  <w:szCs w:val="20"/>
                </w:rPr>
                <w:t xml:space="preserve">The Code of Business Conduct and </w:t>
              </w:r>
              <w:r w:rsidR="00D844A1" w:rsidRPr="0008564D">
                <w:rPr>
                  <w:rStyle w:val="Hyperlink"/>
                  <w:b/>
                  <w:sz w:val="20"/>
                  <w:szCs w:val="20"/>
                </w:rPr>
                <w:lastRenderedPageBreak/>
                <w:t>Ethics of the company provides the whistle-blowing policy.</w:t>
              </w:r>
            </w:hyperlink>
          </w:p>
          <w:p w:rsidR="00D844A1" w:rsidRPr="0008564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lastRenderedPageBreak/>
              <w:t>D.2.7</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Biographical details (at least age, qualifications, date of first appointment, relevant experience, and any other directorships of listed companies) of directors/commissioners</w:t>
            </w: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b/>
                <w:sz w:val="20"/>
                <w:szCs w:val="20"/>
              </w:rPr>
            </w:pPr>
          </w:p>
        </w:tc>
        <w:tc>
          <w:tcPr>
            <w:tcW w:w="1087" w:type="dxa"/>
            <w:tcBorders>
              <w:top w:val="single" w:sz="4" w:space="0" w:color="auto"/>
              <w:left w:val="single" w:sz="4" w:space="0" w:color="000000" w:themeColor="text1"/>
              <w:bottom w:val="single" w:sz="4" w:space="0" w:color="auto"/>
              <w:right w:val="single" w:sz="4" w:space="0" w:color="auto"/>
            </w:tcBorders>
            <w:vAlign w:val="center"/>
          </w:tcPr>
          <w:p w:rsidR="00D844A1" w:rsidRPr="00E8695C" w:rsidRDefault="00D844A1" w:rsidP="004A761F">
            <w:pPr>
              <w:jc w:val="center"/>
              <w:rPr>
                <w:sz w:val="20"/>
                <w:szCs w:val="20"/>
              </w:rPr>
            </w:pPr>
            <w:r>
              <w:rPr>
                <w:sz w:val="20"/>
                <w:szCs w:val="20"/>
              </w:rPr>
              <w:br/>
              <w:t>Y</w:t>
            </w:r>
          </w:p>
        </w:tc>
        <w:tc>
          <w:tcPr>
            <w:tcW w:w="3431" w:type="dxa"/>
            <w:tcBorders>
              <w:top w:val="single" w:sz="4" w:space="0" w:color="auto"/>
              <w:left w:val="single" w:sz="4" w:space="0" w:color="auto"/>
              <w:bottom w:val="single" w:sz="4" w:space="0" w:color="auto"/>
              <w:right w:val="single" w:sz="4" w:space="0" w:color="000000" w:themeColor="text1"/>
            </w:tcBorders>
          </w:tcPr>
          <w:p w:rsidR="00D844A1" w:rsidRPr="0008564D" w:rsidRDefault="00D844A1" w:rsidP="004A761F">
            <w:pPr>
              <w:rPr>
                <w:b/>
                <w:sz w:val="20"/>
                <w:szCs w:val="20"/>
              </w:rPr>
            </w:pPr>
            <w:r w:rsidRPr="0008564D">
              <w:rPr>
                <w:b/>
                <w:sz w:val="20"/>
                <w:szCs w:val="20"/>
              </w:rPr>
              <w:t xml:space="preserve">The </w:t>
            </w:r>
            <w:hyperlink r:id="rId19" w:history="1">
              <w:r w:rsidRPr="0008564D">
                <w:rPr>
                  <w:rStyle w:val="Hyperlink"/>
                  <w:b/>
                  <w:sz w:val="20"/>
                  <w:szCs w:val="20"/>
                </w:rPr>
                <w:t>company website (Board of Director)</w:t>
              </w:r>
            </w:hyperlink>
            <w:r w:rsidRPr="0008564D">
              <w:rPr>
                <w:b/>
                <w:sz w:val="20"/>
                <w:szCs w:val="20"/>
              </w:rPr>
              <w:t xml:space="preserve"> provides the biographical details of the directors/commissioner of the company.</w:t>
            </w:r>
            <w:r w:rsidRPr="0008564D">
              <w:rPr>
                <w:b/>
                <w:sz w:val="20"/>
                <w:szCs w:val="20"/>
              </w:rPr>
              <w:br/>
            </w: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D.2.8</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 xml:space="preserve">Training and/or continuing education programme attended by each director/commissioner </w:t>
            </w: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b/>
                <w:sz w:val="20"/>
                <w:szCs w:val="20"/>
              </w:rPr>
            </w:pPr>
          </w:p>
        </w:tc>
        <w:tc>
          <w:tcPr>
            <w:tcW w:w="1087" w:type="dxa"/>
            <w:tcBorders>
              <w:top w:val="single" w:sz="4" w:space="0" w:color="auto"/>
              <w:left w:val="single" w:sz="4" w:space="0" w:color="000000" w:themeColor="text1"/>
              <w:bottom w:val="single" w:sz="4" w:space="0" w:color="auto"/>
              <w:right w:val="single" w:sz="4" w:space="0" w:color="auto"/>
            </w:tcBorders>
            <w:vAlign w:val="center"/>
          </w:tcPr>
          <w:p w:rsidR="00D844A1" w:rsidRDefault="00D844A1" w:rsidP="004A761F">
            <w:pPr>
              <w:jc w:val="center"/>
              <w:rPr>
                <w:b/>
                <w:sz w:val="20"/>
                <w:szCs w:val="20"/>
              </w:rPr>
            </w:pPr>
            <w:r>
              <w:rPr>
                <w:sz w:val="20"/>
                <w:szCs w:val="20"/>
              </w:rPr>
              <w:t>Y</w:t>
            </w:r>
          </w:p>
        </w:tc>
        <w:tc>
          <w:tcPr>
            <w:tcW w:w="3431" w:type="dxa"/>
            <w:tcBorders>
              <w:top w:val="single" w:sz="4" w:space="0" w:color="auto"/>
              <w:left w:val="single" w:sz="4" w:space="0" w:color="auto"/>
              <w:bottom w:val="single" w:sz="4" w:space="0" w:color="auto"/>
              <w:right w:val="single" w:sz="4" w:space="0" w:color="000000" w:themeColor="text1"/>
            </w:tcBorders>
          </w:tcPr>
          <w:p w:rsidR="00D844A1" w:rsidRPr="0008564D" w:rsidRDefault="00D844A1" w:rsidP="004A761F">
            <w:pPr>
              <w:rPr>
                <w:b/>
                <w:sz w:val="20"/>
                <w:szCs w:val="20"/>
              </w:rPr>
            </w:pPr>
            <w:r w:rsidRPr="0008564D">
              <w:rPr>
                <w:b/>
                <w:sz w:val="20"/>
                <w:szCs w:val="20"/>
              </w:rPr>
              <w:t xml:space="preserve">The details of trainings and education attended by each director/commissioner are posted on the </w:t>
            </w:r>
            <w:hyperlink r:id="rId20" w:history="1">
              <w:r w:rsidRPr="0008564D">
                <w:rPr>
                  <w:rStyle w:val="Hyperlink"/>
                  <w:b/>
                  <w:sz w:val="20"/>
                  <w:szCs w:val="20"/>
                </w:rPr>
                <w:t>company’s website (Board of Director)</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D.2.9</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Number of board of directors/commissioners meetings held during the year</w:t>
            </w: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b/>
                <w:sz w:val="20"/>
                <w:szCs w:val="20"/>
              </w:rPr>
            </w:pPr>
          </w:p>
        </w:tc>
        <w:tc>
          <w:tcPr>
            <w:tcW w:w="1087" w:type="dxa"/>
            <w:tcBorders>
              <w:top w:val="single" w:sz="4" w:space="0" w:color="auto"/>
              <w:left w:val="single" w:sz="4" w:space="0" w:color="000000" w:themeColor="text1"/>
              <w:bottom w:val="single" w:sz="4" w:space="0" w:color="auto"/>
              <w:right w:val="single" w:sz="4" w:space="0" w:color="auto"/>
            </w:tcBorders>
            <w:vAlign w:val="center"/>
          </w:tcPr>
          <w:p w:rsidR="00D844A1" w:rsidRDefault="00D844A1" w:rsidP="004A761F">
            <w:pPr>
              <w:jc w:val="center"/>
            </w:pPr>
            <w:r w:rsidRPr="004F3CE3">
              <w:rPr>
                <w:sz w:val="20"/>
                <w:szCs w:val="20"/>
              </w:rPr>
              <w:t>Y</w:t>
            </w:r>
          </w:p>
        </w:tc>
        <w:tc>
          <w:tcPr>
            <w:tcW w:w="3431" w:type="dxa"/>
            <w:tcBorders>
              <w:top w:val="single" w:sz="4" w:space="0" w:color="auto"/>
              <w:left w:val="single" w:sz="4" w:space="0" w:color="auto"/>
              <w:bottom w:val="single" w:sz="4" w:space="0" w:color="auto"/>
              <w:right w:val="single" w:sz="4" w:space="0" w:color="000000" w:themeColor="text1"/>
            </w:tcBorders>
            <w:vAlign w:val="center"/>
          </w:tcPr>
          <w:p w:rsidR="00D844A1" w:rsidRPr="0008564D" w:rsidRDefault="00ED297A" w:rsidP="004A761F">
            <w:pPr>
              <w:rPr>
                <w:b/>
                <w:sz w:val="20"/>
                <w:szCs w:val="20"/>
              </w:rPr>
            </w:pPr>
            <w:hyperlink r:id="rId21" w:history="1">
              <w:r w:rsidR="00D844A1" w:rsidRPr="0008564D">
                <w:rPr>
                  <w:rStyle w:val="Hyperlink"/>
                  <w:b/>
                  <w:sz w:val="20"/>
                  <w:szCs w:val="20"/>
                </w:rPr>
                <w:t>Board Meetings in 2014</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D.2.10</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Attendance details of each director/commissioner in respect of meetings held</w:t>
            </w: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b/>
                <w:sz w:val="20"/>
                <w:szCs w:val="20"/>
              </w:rPr>
            </w:pPr>
          </w:p>
        </w:tc>
        <w:tc>
          <w:tcPr>
            <w:tcW w:w="1087" w:type="dxa"/>
            <w:tcBorders>
              <w:top w:val="single" w:sz="4" w:space="0" w:color="auto"/>
              <w:left w:val="single" w:sz="4" w:space="0" w:color="000000" w:themeColor="text1"/>
              <w:bottom w:val="single" w:sz="4" w:space="0" w:color="000000" w:themeColor="text1"/>
              <w:right w:val="single" w:sz="4" w:space="0" w:color="auto"/>
            </w:tcBorders>
            <w:vAlign w:val="center"/>
          </w:tcPr>
          <w:p w:rsidR="00D844A1" w:rsidRDefault="00D844A1" w:rsidP="004A761F">
            <w:pPr>
              <w:jc w:val="center"/>
            </w:pPr>
            <w:r w:rsidRPr="004F3CE3">
              <w:rPr>
                <w:sz w:val="20"/>
                <w:szCs w:val="20"/>
              </w:rPr>
              <w:t>Y</w:t>
            </w:r>
          </w:p>
        </w:tc>
        <w:tc>
          <w:tcPr>
            <w:tcW w:w="3431" w:type="dxa"/>
            <w:tcBorders>
              <w:top w:val="single" w:sz="4" w:space="0" w:color="auto"/>
              <w:left w:val="single" w:sz="4" w:space="0" w:color="auto"/>
              <w:bottom w:val="single" w:sz="4" w:space="0" w:color="000000" w:themeColor="text1"/>
              <w:right w:val="single" w:sz="4" w:space="0" w:color="000000" w:themeColor="text1"/>
            </w:tcBorders>
          </w:tcPr>
          <w:p w:rsidR="00D844A1" w:rsidRPr="0008564D" w:rsidRDefault="00ED297A" w:rsidP="004A761F">
            <w:pPr>
              <w:rPr>
                <w:b/>
                <w:sz w:val="20"/>
                <w:szCs w:val="20"/>
              </w:rPr>
            </w:pPr>
            <w:hyperlink r:id="rId22" w:history="1">
              <w:r w:rsidR="00D844A1" w:rsidRPr="0008564D">
                <w:rPr>
                  <w:rStyle w:val="Hyperlink"/>
                  <w:b/>
                  <w:sz w:val="20"/>
                  <w:szCs w:val="20"/>
                </w:rPr>
                <w:t>Board Meetings in 2014</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D.2.11</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Details of remuneration of each member of the board of directors/commissioners</w:t>
            </w: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b/>
                <w:sz w:val="20"/>
                <w:szCs w:val="20"/>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44A1" w:rsidRDefault="00D844A1" w:rsidP="004A761F">
            <w:pPr>
              <w:jc w:val="center"/>
            </w:pPr>
            <w:r>
              <w:rPr>
                <w:sz w:val="20"/>
                <w:szCs w:val="20"/>
              </w:rPr>
              <w:t>N</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nil"/>
              <w:right w:val="nil"/>
            </w:tcBorders>
          </w:tcPr>
          <w:p w:rsidR="00D844A1" w:rsidRDefault="00D844A1" w:rsidP="004A761F">
            <w:pPr>
              <w:rPr>
                <w:rFonts w:ascii="Calibri" w:hAnsi="Calibri" w:cs="Calibri"/>
                <w:sz w:val="20"/>
                <w:szCs w:val="20"/>
              </w:rPr>
            </w:pPr>
            <w:r>
              <w:rPr>
                <w:b/>
                <w:i/>
                <w:sz w:val="20"/>
                <w:szCs w:val="20"/>
              </w:rPr>
              <w:t>Corporate Governance Confirmation Statement</w:t>
            </w:r>
          </w:p>
        </w:tc>
        <w:tc>
          <w:tcPr>
            <w:tcW w:w="4252" w:type="dxa"/>
            <w:tcBorders>
              <w:top w:val="single" w:sz="4" w:space="0" w:color="000000" w:themeColor="text1"/>
              <w:left w:val="nil"/>
              <w:bottom w:val="nil"/>
              <w:right w:val="nil"/>
            </w:tcBorders>
          </w:tcPr>
          <w:p w:rsidR="00D844A1" w:rsidRDefault="00D844A1" w:rsidP="004A761F">
            <w:pPr>
              <w:rPr>
                <w:b/>
                <w:sz w:val="20"/>
                <w:szCs w:val="20"/>
              </w:rPr>
            </w:pPr>
          </w:p>
        </w:tc>
        <w:tc>
          <w:tcPr>
            <w:tcW w:w="1087" w:type="dxa"/>
            <w:tcBorders>
              <w:top w:val="single" w:sz="4" w:space="0" w:color="000000" w:themeColor="text1"/>
              <w:left w:val="nil"/>
              <w:bottom w:val="nil"/>
              <w:right w:val="nil"/>
            </w:tcBorders>
            <w:vAlign w:val="center"/>
          </w:tcPr>
          <w:p w:rsidR="00D844A1" w:rsidRDefault="00D844A1" w:rsidP="004A761F">
            <w:pPr>
              <w:jc w:val="cente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D.2.12</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Does the Annual Report contain a statement confirming the company's full compliance with the code of corporate governance and where there is non-compliance, identify and explain reasons for each such issue?</w:t>
            </w:r>
          </w:p>
          <w:p w:rsidR="00D844A1" w:rsidRDefault="00D844A1" w:rsidP="004A761F">
            <w:pPr>
              <w:rPr>
                <w:rFonts w:ascii="Calibri" w:hAnsi="Calibri" w:cs="Calibri"/>
                <w:sz w:val="20"/>
                <w:szCs w:val="20"/>
              </w:rPr>
            </w:pPr>
          </w:p>
        </w:tc>
        <w:tc>
          <w:tcPr>
            <w:tcW w:w="4252" w:type="dxa"/>
          </w:tcPr>
          <w:p w:rsidR="00D844A1" w:rsidRPr="00DD6E0B" w:rsidRDefault="00D844A1" w:rsidP="004A761F">
            <w:pPr>
              <w:rPr>
                <w:b/>
                <w:sz w:val="18"/>
                <w:szCs w:val="20"/>
              </w:rPr>
            </w:pPr>
            <w:r w:rsidRPr="00DD6E0B">
              <w:rPr>
                <w:b/>
                <w:bCs/>
                <w:sz w:val="18"/>
                <w:szCs w:val="20"/>
              </w:rPr>
              <w:t>OECD PRINCIPLE V (A) (8)</w:t>
            </w:r>
            <w:r w:rsidRPr="00DD6E0B">
              <w:rPr>
                <w:b/>
                <w:sz w:val="18"/>
                <w:szCs w:val="20"/>
              </w:rPr>
              <w:br/>
            </w:r>
            <w:r w:rsidRPr="00DD6E0B">
              <w:rPr>
                <w:b/>
                <w:bCs/>
                <w:sz w:val="18"/>
                <w:szCs w:val="20"/>
              </w:rPr>
              <w:br/>
              <w:t>UK CODE (JUNE 2010): Listing Rules</w:t>
            </w:r>
            <w:r w:rsidRPr="00DD6E0B">
              <w:rPr>
                <w:b/>
                <w:sz w:val="18"/>
                <w:szCs w:val="20"/>
              </w:rPr>
              <w:br/>
              <w:t>9.8.6 R (for UK incorporated companies) and 9.8.7 R (for overseas incorporated companies) state that in the case of a company that has a Premium listing of equity shares, the following items must be included in its Annual Report and accounts: a statement of how the listed company has applied the Main Principles set out in the UK CG Code, in a manner that would enable shareholders to evaluate how the principles have been applied; a statement as to whether the listed company has complied throughout the accounting period with all relevant provisions set out in the UK CG Code; or not complied throughout the accounting period with all relevant provisions set out in the UK CG Code, and if so, setting out:</w:t>
            </w:r>
            <w:r w:rsidRPr="00DD6E0B">
              <w:rPr>
                <w:b/>
                <w:sz w:val="18"/>
                <w:szCs w:val="20"/>
              </w:rPr>
              <w:br/>
              <w:t>(i) those provisions, if any, it has not complied with;</w:t>
            </w:r>
            <w:r w:rsidRPr="00DD6E0B">
              <w:rPr>
                <w:b/>
                <w:sz w:val="18"/>
                <w:szCs w:val="20"/>
              </w:rPr>
              <w:br/>
              <w:t xml:space="preserve">(ii) in the case of provisions whose requirements are of a continuing nature, the period within which, if any, it did not comply with some or all of those provisions; and </w:t>
            </w:r>
            <w:r w:rsidRPr="00DD6E0B">
              <w:rPr>
                <w:b/>
                <w:sz w:val="18"/>
                <w:szCs w:val="20"/>
              </w:rPr>
              <w:br/>
            </w:r>
            <w:r w:rsidRPr="00DD6E0B">
              <w:rPr>
                <w:b/>
                <w:sz w:val="18"/>
                <w:szCs w:val="20"/>
              </w:rPr>
              <w:lastRenderedPageBreak/>
              <w:t>(iii) the company’s reasons for non-compliance.</w:t>
            </w:r>
            <w:r w:rsidRPr="00DD6E0B">
              <w:rPr>
                <w:b/>
                <w:sz w:val="18"/>
                <w:szCs w:val="20"/>
              </w:rPr>
              <w:br/>
            </w:r>
            <w:r w:rsidRPr="00DD6E0B">
              <w:rPr>
                <w:b/>
                <w:sz w:val="18"/>
                <w:szCs w:val="20"/>
              </w:rPr>
              <w:br/>
            </w:r>
            <w:r w:rsidRPr="00DD6E0B">
              <w:rPr>
                <w:b/>
                <w:bCs/>
                <w:sz w:val="18"/>
                <w:szCs w:val="20"/>
              </w:rPr>
              <w:t>ASX CODE:</w:t>
            </w:r>
            <w:r w:rsidRPr="00DD6E0B">
              <w:rPr>
                <w:b/>
                <w:sz w:val="18"/>
                <w:szCs w:val="20"/>
              </w:rPr>
              <w:br/>
              <w:t>Under ASX Listing Rule 4.10.3, companies are required to provide a statement in their Annual Report disclosing the extent to which they have followed the Recommendations in the reporting period. Where companies have not followed all the Recommendations, they must identify the Recommendations that have not been followed and give reasons for not following them. Annual Reporting does not diminish the company’s obligation to provide disclosure under ASX Listing Rule 3.1.</w:t>
            </w:r>
          </w:p>
          <w:p w:rsidR="00D844A1" w:rsidRDefault="00D844A1" w:rsidP="004A761F">
            <w:pPr>
              <w:rPr>
                <w:b/>
                <w:sz w:val="20"/>
                <w:szCs w:val="20"/>
              </w:rPr>
            </w:pPr>
          </w:p>
        </w:tc>
        <w:tc>
          <w:tcPr>
            <w:tcW w:w="1087" w:type="dxa"/>
            <w:vAlign w:val="center"/>
          </w:tcPr>
          <w:p w:rsidR="00D844A1" w:rsidRPr="00254DC3" w:rsidRDefault="00D844A1" w:rsidP="004A761F">
            <w:pPr>
              <w:jc w:val="center"/>
              <w:rPr>
                <w:sz w:val="20"/>
                <w:szCs w:val="20"/>
              </w:rPr>
            </w:pPr>
            <w:r>
              <w:rPr>
                <w:sz w:val="20"/>
                <w:szCs w:val="20"/>
              </w:rPr>
              <w:lastRenderedPageBreak/>
              <w:t>N</w:t>
            </w:r>
          </w:p>
        </w:tc>
        <w:tc>
          <w:tcPr>
            <w:tcW w:w="3431" w:type="dxa"/>
            <w:tcBorders>
              <w:top w:val="single" w:sz="4" w:space="0" w:color="000000" w:themeColor="text1"/>
            </w:tcBorders>
          </w:tcPr>
          <w:p w:rsidR="00D844A1" w:rsidRPr="00254DC3" w:rsidRDefault="00D844A1" w:rsidP="004A761F">
            <w:pPr>
              <w:rPr>
                <w:sz w:val="20"/>
                <w:szCs w:val="20"/>
              </w:rPr>
            </w:pPr>
          </w:p>
        </w:tc>
      </w:tr>
      <w:tr w:rsidR="00D844A1" w:rsidTr="004A761F">
        <w:tc>
          <w:tcPr>
            <w:tcW w:w="14616" w:type="dxa"/>
            <w:gridSpan w:val="5"/>
            <w:tcBorders>
              <w:left w:val="single" w:sz="4" w:space="0" w:color="000000" w:themeColor="text1"/>
            </w:tcBorders>
            <w:vAlign w:val="center"/>
          </w:tcPr>
          <w:p w:rsidR="00D844A1" w:rsidRDefault="00D844A1" w:rsidP="004A761F">
            <w:pPr>
              <w:jc w:val="center"/>
              <w:rPr>
                <w:b/>
                <w:sz w:val="20"/>
                <w:szCs w:val="20"/>
              </w:rPr>
            </w:pPr>
          </w:p>
        </w:tc>
      </w:tr>
      <w:tr w:rsidR="00D844A1" w:rsidTr="004A761F">
        <w:tc>
          <w:tcPr>
            <w:tcW w:w="14616" w:type="dxa"/>
            <w:gridSpan w:val="5"/>
            <w:tcBorders>
              <w:left w:val="single" w:sz="4" w:space="0" w:color="000000" w:themeColor="text1"/>
            </w:tcBorders>
            <w:shd w:val="clear" w:color="auto" w:fill="FFCC99"/>
            <w:vAlign w:val="center"/>
          </w:tcPr>
          <w:p w:rsidR="00D844A1" w:rsidRDefault="00D844A1" w:rsidP="004A761F">
            <w:pPr>
              <w:jc w:val="center"/>
              <w:rPr>
                <w:b/>
                <w:sz w:val="20"/>
                <w:szCs w:val="20"/>
              </w:rPr>
            </w:pPr>
            <w:r>
              <w:br w:type="page"/>
            </w:r>
            <w:r>
              <w:rPr>
                <w:b/>
                <w:sz w:val="20"/>
                <w:szCs w:val="20"/>
              </w:rPr>
              <w:t>D.3 Disclosure of Related Party Transactions (RPT)</w:t>
            </w:r>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D.3.1</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Does the company disclose its policy covering the review and approval of material/significant RPTs?</w:t>
            </w:r>
          </w:p>
        </w:tc>
        <w:tc>
          <w:tcPr>
            <w:tcW w:w="4252" w:type="dxa"/>
            <w:vMerge w:val="restart"/>
          </w:tcPr>
          <w:p w:rsidR="00D844A1" w:rsidRPr="00875DC5" w:rsidRDefault="00D844A1" w:rsidP="004A761F">
            <w:pPr>
              <w:rPr>
                <w:b/>
                <w:sz w:val="18"/>
                <w:szCs w:val="20"/>
              </w:rPr>
            </w:pPr>
            <w:r w:rsidRPr="00875DC5">
              <w:rPr>
                <w:b/>
                <w:sz w:val="18"/>
                <w:szCs w:val="20"/>
              </w:rPr>
              <w:t>OECD Principle V: Disclosure and Transparency</w:t>
            </w:r>
          </w:p>
          <w:p w:rsidR="00D844A1" w:rsidRPr="00875DC5" w:rsidRDefault="00D844A1" w:rsidP="004A761F">
            <w:pPr>
              <w:rPr>
                <w:b/>
                <w:sz w:val="18"/>
                <w:szCs w:val="20"/>
              </w:rPr>
            </w:pPr>
            <w:r w:rsidRPr="00875DC5">
              <w:rPr>
                <w:b/>
                <w:sz w:val="18"/>
                <w:szCs w:val="20"/>
              </w:rPr>
              <w:t>(A) Disclosure should include, but not limited to, material information on:</w:t>
            </w:r>
          </w:p>
          <w:p w:rsidR="00D844A1" w:rsidRPr="00875DC5" w:rsidRDefault="00D844A1" w:rsidP="004A761F">
            <w:pPr>
              <w:rPr>
                <w:b/>
                <w:sz w:val="18"/>
                <w:szCs w:val="20"/>
              </w:rPr>
            </w:pPr>
            <w:r w:rsidRPr="00875DC5">
              <w:rPr>
                <w:b/>
                <w:sz w:val="18"/>
                <w:szCs w:val="20"/>
              </w:rPr>
              <w:t>(5) Related party transactions</w:t>
            </w:r>
          </w:p>
          <w:p w:rsidR="00D844A1" w:rsidRPr="00875DC5" w:rsidRDefault="00D844A1" w:rsidP="004A761F">
            <w:pPr>
              <w:rPr>
                <w:b/>
                <w:sz w:val="18"/>
                <w:szCs w:val="20"/>
              </w:rPr>
            </w:pPr>
          </w:p>
          <w:p w:rsidR="00D844A1" w:rsidRPr="00875DC5" w:rsidRDefault="00D844A1" w:rsidP="004A761F">
            <w:pPr>
              <w:rPr>
                <w:b/>
                <w:sz w:val="18"/>
                <w:szCs w:val="20"/>
              </w:rPr>
            </w:pPr>
            <w:r w:rsidRPr="00875DC5">
              <w:rPr>
                <w:b/>
                <w:sz w:val="18"/>
                <w:szCs w:val="20"/>
              </w:rPr>
              <w:t>ICGN 2.11.1 Related party transactions</w:t>
            </w:r>
          </w:p>
          <w:p w:rsidR="00D844A1" w:rsidRPr="005550BB" w:rsidRDefault="00D844A1" w:rsidP="004A761F">
            <w:pPr>
              <w:rPr>
                <w:b/>
                <w:sz w:val="18"/>
                <w:szCs w:val="20"/>
              </w:rPr>
            </w:pPr>
            <w:r w:rsidRPr="00875DC5">
              <w:rPr>
                <w:b/>
                <w:sz w:val="18"/>
                <w:szCs w:val="20"/>
              </w:rPr>
              <w:t>The company should disclose details of all material related party tra</w:t>
            </w:r>
            <w:r>
              <w:rPr>
                <w:b/>
                <w:sz w:val="18"/>
                <w:szCs w:val="20"/>
              </w:rPr>
              <w:t>nsactions init’s aAnnual Report.</w:t>
            </w:r>
          </w:p>
        </w:tc>
        <w:tc>
          <w:tcPr>
            <w:tcW w:w="1087" w:type="dxa"/>
            <w:vAlign w:val="center"/>
          </w:tcPr>
          <w:p w:rsidR="00D844A1" w:rsidRPr="000F27E8" w:rsidRDefault="00D844A1" w:rsidP="004A761F">
            <w:pPr>
              <w:jc w:val="center"/>
              <w:rPr>
                <w:sz w:val="20"/>
                <w:szCs w:val="20"/>
              </w:rPr>
            </w:pPr>
            <w:r>
              <w:rPr>
                <w:sz w:val="20"/>
                <w:szCs w:val="20"/>
              </w:rPr>
              <w:t>Y</w:t>
            </w:r>
          </w:p>
        </w:tc>
        <w:tc>
          <w:tcPr>
            <w:tcW w:w="3431" w:type="dxa"/>
          </w:tcPr>
          <w:p w:rsidR="00D844A1" w:rsidRPr="0008564D" w:rsidRDefault="00ED297A" w:rsidP="004A761F">
            <w:pPr>
              <w:rPr>
                <w:b/>
                <w:sz w:val="20"/>
                <w:szCs w:val="20"/>
              </w:rPr>
            </w:pPr>
            <w:hyperlink r:id="rId23" w:history="1">
              <w:r w:rsidR="00D844A1" w:rsidRPr="0008564D">
                <w:rPr>
                  <w:rStyle w:val="Hyperlink"/>
                  <w:b/>
                  <w:sz w:val="20"/>
                  <w:szCs w:val="20"/>
                </w:rPr>
                <w:t>Art. 9 on Manual on Corporate Governance, pg 18</w:t>
              </w:r>
            </w:hyperlink>
          </w:p>
          <w:p w:rsidR="00D844A1" w:rsidRPr="0008564D" w:rsidRDefault="00D844A1" w:rsidP="004A761F">
            <w:pPr>
              <w:rPr>
                <w:b/>
                <w:sz w:val="20"/>
                <w:szCs w:val="20"/>
              </w:rPr>
            </w:pPr>
          </w:p>
          <w:p w:rsidR="00D844A1" w:rsidRPr="0008564D" w:rsidRDefault="00ED297A" w:rsidP="004A761F">
            <w:pPr>
              <w:rPr>
                <w:b/>
                <w:sz w:val="20"/>
                <w:szCs w:val="20"/>
              </w:rPr>
            </w:pPr>
            <w:hyperlink r:id="rId24" w:history="1">
              <w:r w:rsidR="00D844A1" w:rsidRPr="0008564D">
                <w:rPr>
                  <w:rStyle w:val="Hyperlink"/>
                  <w:b/>
                  <w:sz w:val="20"/>
                  <w:szCs w:val="20"/>
                </w:rPr>
                <w:t>Terms of Reference of Audit Committee, pg 3</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D.3.2</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Does the company disclose the name of the related party and relationship for each material/significant RPT?</w:t>
            </w:r>
          </w:p>
        </w:tc>
        <w:tc>
          <w:tcPr>
            <w:tcW w:w="4252" w:type="dxa"/>
            <w:vMerge/>
          </w:tcPr>
          <w:p w:rsidR="00D844A1" w:rsidRDefault="00D844A1" w:rsidP="004A761F">
            <w:pPr>
              <w:rPr>
                <w:b/>
                <w:sz w:val="20"/>
                <w:szCs w:val="20"/>
              </w:rPr>
            </w:pPr>
          </w:p>
        </w:tc>
        <w:tc>
          <w:tcPr>
            <w:tcW w:w="1087" w:type="dxa"/>
            <w:vAlign w:val="center"/>
          </w:tcPr>
          <w:p w:rsidR="00D844A1" w:rsidRPr="009E737B" w:rsidRDefault="00D844A1" w:rsidP="004A761F">
            <w:pPr>
              <w:jc w:val="center"/>
              <w:rPr>
                <w:sz w:val="20"/>
                <w:szCs w:val="20"/>
              </w:rPr>
            </w:pPr>
            <w:r>
              <w:rPr>
                <w:sz w:val="20"/>
                <w:szCs w:val="20"/>
              </w:rPr>
              <w:t>Y</w:t>
            </w:r>
          </w:p>
        </w:tc>
        <w:tc>
          <w:tcPr>
            <w:tcW w:w="3431" w:type="dxa"/>
            <w:vAlign w:val="center"/>
          </w:tcPr>
          <w:p w:rsidR="00D844A1" w:rsidRPr="0008564D" w:rsidRDefault="00ED297A" w:rsidP="004A761F">
            <w:pPr>
              <w:rPr>
                <w:b/>
                <w:sz w:val="20"/>
                <w:szCs w:val="20"/>
              </w:rPr>
            </w:pPr>
            <w:hyperlink r:id="rId25" w:history="1">
              <w:r w:rsidR="00D844A1" w:rsidRPr="0008564D">
                <w:rPr>
                  <w:rStyle w:val="Hyperlink"/>
                  <w:b/>
                  <w:sz w:val="20"/>
                  <w:szCs w:val="20"/>
                </w:rPr>
                <w:t>Audited Financial Statement, pg54</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D.3.3</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Does the company disclose the nature and value for each material/significant RPT?</w:t>
            </w:r>
          </w:p>
        </w:tc>
        <w:tc>
          <w:tcPr>
            <w:tcW w:w="4252" w:type="dxa"/>
            <w:vMerge/>
          </w:tcPr>
          <w:p w:rsidR="00D844A1" w:rsidRDefault="00D844A1" w:rsidP="004A761F">
            <w:pPr>
              <w:rPr>
                <w:b/>
                <w:sz w:val="20"/>
                <w:szCs w:val="20"/>
              </w:rPr>
            </w:pPr>
          </w:p>
        </w:tc>
        <w:tc>
          <w:tcPr>
            <w:tcW w:w="1087" w:type="dxa"/>
            <w:vAlign w:val="center"/>
          </w:tcPr>
          <w:p w:rsidR="00D844A1" w:rsidRPr="009E737B" w:rsidRDefault="00D844A1" w:rsidP="004A761F">
            <w:pPr>
              <w:jc w:val="center"/>
              <w:rPr>
                <w:sz w:val="20"/>
                <w:szCs w:val="20"/>
              </w:rPr>
            </w:pPr>
            <w:r>
              <w:rPr>
                <w:sz w:val="20"/>
                <w:szCs w:val="20"/>
              </w:rPr>
              <w:t>Y</w:t>
            </w:r>
          </w:p>
        </w:tc>
        <w:tc>
          <w:tcPr>
            <w:tcW w:w="3431" w:type="dxa"/>
            <w:vAlign w:val="center"/>
          </w:tcPr>
          <w:p w:rsidR="00D844A1" w:rsidRPr="0008564D" w:rsidRDefault="00ED297A" w:rsidP="004A761F">
            <w:pPr>
              <w:rPr>
                <w:b/>
                <w:sz w:val="20"/>
                <w:szCs w:val="20"/>
              </w:rPr>
            </w:pPr>
            <w:hyperlink r:id="rId26" w:history="1">
              <w:r w:rsidR="00D844A1" w:rsidRPr="0008564D">
                <w:rPr>
                  <w:rStyle w:val="Hyperlink"/>
                  <w:b/>
                  <w:sz w:val="20"/>
                  <w:szCs w:val="20"/>
                </w:rPr>
                <w:t>Audited Financial Statement, pg54</w:t>
              </w:r>
            </w:hyperlink>
          </w:p>
        </w:tc>
      </w:tr>
      <w:tr w:rsidR="00D844A1" w:rsidTr="004A761F">
        <w:tc>
          <w:tcPr>
            <w:tcW w:w="14616" w:type="dxa"/>
            <w:gridSpan w:val="5"/>
            <w:tcBorders>
              <w:left w:val="single" w:sz="4" w:space="0" w:color="000000" w:themeColor="text1"/>
            </w:tcBorders>
            <w:vAlign w:val="center"/>
          </w:tcPr>
          <w:p w:rsidR="00D844A1" w:rsidRDefault="00D844A1" w:rsidP="004A761F">
            <w:pPr>
              <w:jc w:val="center"/>
              <w:rPr>
                <w:b/>
                <w:sz w:val="20"/>
                <w:szCs w:val="20"/>
              </w:rPr>
            </w:pPr>
          </w:p>
        </w:tc>
      </w:tr>
      <w:tr w:rsidR="00D844A1" w:rsidTr="004A761F">
        <w:tc>
          <w:tcPr>
            <w:tcW w:w="14616" w:type="dxa"/>
            <w:gridSpan w:val="5"/>
            <w:tcBorders>
              <w:left w:val="single" w:sz="4" w:space="0" w:color="000000" w:themeColor="text1"/>
            </w:tcBorders>
            <w:shd w:val="clear" w:color="auto" w:fill="FFCC99"/>
            <w:vAlign w:val="center"/>
          </w:tcPr>
          <w:p w:rsidR="00D844A1" w:rsidRDefault="00D844A1" w:rsidP="004A761F">
            <w:pPr>
              <w:jc w:val="center"/>
              <w:rPr>
                <w:b/>
                <w:sz w:val="20"/>
                <w:szCs w:val="20"/>
              </w:rPr>
            </w:pPr>
            <w:r>
              <w:br w:type="page"/>
            </w:r>
            <w:r>
              <w:rPr>
                <w:b/>
                <w:sz w:val="20"/>
                <w:szCs w:val="20"/>
              </w:rPr>
              <w:t>D.4 Directors and commissioners dealings in shares of the company</w:t>
            </w:r>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D.4.1</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 xml:space="preserve">Does the company disclose trading in the company's shares by insiders? </w:t>
            </w:r>
          </w:p>
        </w:tc>
        <w:tc>
          <w:tcPr>
            <w:tcW w:w="4252" w:type="dxa"/>
          </w:tcPr>
          <w:p w:rsidR="00D844A1" w:rsidRPr="005550BB" w:rsidRDefault="00D844A1" w:rsidP="004A761F">
            <w:pPr>
              <w:rPr>
                <w:b/>
                <w:sz w:val="18"/>
                <w:szCs w:val="20"/>
              </w:rPr>
            </w:pPr>
            <w:r w:rsidRPr="005550BB">
              <w:rPr>
                <w:b/>
                <w:bCs/>
                <w:sz w:val="18"/>
                <w:szCs w:val="20"/>
              </w:rPr>
              <w:t xml:space="preserve">OECD Principle V (A): </w:t>
            </w:r>
            <w:r w:rsidRPr="005550BB">
              <w:rPr>
                <w:b/>
                <w:bCs/>
                <w:sz w:val="18"/>
                <w:szCs w:val="20"/>
              </w:rPr>
              <w:br/>
            </w:r>
            <w:r w:rsidRPr="005550BB">
              <w:rPr>
                <w:b/>
                <w:sz w:val="18"/>
                <w:szCs w:val="20"/>
              </w:rPr>
              <w:t>(3) Major share ownership and voting rights</w:t>
            </w:r>
            <w:r w:rsidRPr="005550BB">
              <w:rPr>
                <w:b/>
                <w:sz w:val="18"/>
                <w:szCs w:val="20"/>
              </w:rPr>
              <w:br/>
            </w:r>
            <w:r w:rsidRPr="005550BB">
              <w:rPr>
                <w:b/>
                <w:sz w:val="18"/>
                <w:szCs w:val="20"/>
              </w:rPr>
              <w:br/>
            </w:r>
            <w:r w:rsidRPr="005550BB">
              <w:rPr>
                <w:b/>
                <w:bCs/>
                <w:sz w:val="18"/>
                <w:szCs w:val="20"/>
              </w:rPr>
              <w:t>ICGN 3.5 Employee share dealing</w:t>
            </w:r>
            <w:r w:rsidRPr="005550BB">
              <w:rPr>
                <w:b/>
                <w:bCs/>
                <w:sz w:val="18"/>
                <w:szCs w:val="20"/>
              </w:rPr>
              <w:br/>
            </w:r>
            <w:r w:rsidRPr="005550BB">
              <w:rPr>
                <w:b/>
                <w:sz w:val="18"/>
                <w:szCs w:val="20"/>
              </w:rPr>
              <w:t>Companies should have clear rules regarding any trading by directors and employees in the company's own securities.</w:t>
            </w:r>
            <w:r w:rsidRPr="005550BB">
              <w:rPr>
                <w:b/>
                <w:sz w:val="18"/>
                <w:szCs w:val="20"/>
              </w:rPr>
              <w:br/>
            </w:r>
            <w:r w:rsidRPr="005550BB">
              <w:rPr>
                <w:b/>
                <w:sz w:val="18"/>
                <w:szCs w:val="20"/>
              </w:rPr>
              <w:br/>
            </w:r>
            <w:r w:rsidRPr="005550BB">
              <w:rPr>
                <w:b/>
                <w:bCs/>
                <w:sz w:val="18"/>
                <w:szCs w:val="20"/>
              </w:rPr>
              <w:t>ICGN 5.5 Share ownership</w:t>
            </w:r>
            <w:r w:rsidRPr="005550BB">
              <w:rPr>
                <w:b/>
                <w:bCs/>
                <w:sz w:val="18"/>
                <w:szCs w:val="20"/>
              </w:rPr>
              <w:br/>
            </w:r>
            <w:r w:rsidRPr="005550BB">
              <w:rPr>
                <w:b/>
                <w:sz w:val="18"/>
                <w:szCs w:val="20"/>
              </w:rPr>
              <w:t>Every company should have and disclose a policy concerning ownership of shares of the company by senior managers and executive directors with the objective of aligning the interests of these key executives with those of shareholders.</w:t>
            </w:r>
          </w:p>
          <w:p w:rsidR="00D844A1" w:rsidRDefault="00D844A1" w:rsidP="004A761F">
            <w:pPr>
              <w:rPr>
                <w:b/>
                <w:sz w:val="20"/>
                <w:szCs w:val="20"/>
              </w:rPr>
            </w:pPr>
          </w:p>
        </w:tc>
        <w:tc>
          <w:tcPr>
            <w:tcW w:w="1087" w:type="dxa"/>
            <w:vAlign w:val="center"/>
          </w:tcPr>
          <w:p w:rsidR="00D844A1" w:rsidRDefault="00D844A1" w:rsidP="004A761F">
            <w:pPr>
              <w:jc w:val="center"/>
              <w:rPr>
                <w:b/>
                <w:sz w:val="20"/>
                <w:szCs w:val="20"/>
              </w:rPr>
            </w:pPr>
            <w:r>
              <w:rPr>
                <w:sz w:val="20"/>
                <w:szCs w:val="20"/>
              </w:rPr>
              <w:t>N/A</w:t>
            </w:r>
          </w:p>
        </w:tc>
        <w:tc>
          <w:tcPr>
            <w:tcW w:w="3431" w:type="dxa"/>
          </w:tcPr>
          <w:p w:rsidR="00D844A1" w:rsidRPr="009E737B" w:rsidRDefault="00D844A1" w:rsidP="004A761F">
            <w:pPr>
              <w:rPr>
                <w:sz w:val="20"/>
                <w:szCs w:val="20"/>
              </w:rPr>
            </w:pPr>
          </w:p>
        </w:tc>
      </w:tr>
      <w:tr w:rsidR="00D844A1" w:rsidTr="004A761F">
        <w:tc>
          <w:tcPr>
            <w:tcW w:w="14616" w:type="dxa"/>
            <w:gridSpan w:val="5"/>
            <w:tcBorders>
              <w:left w:val="single" w:sz="4" w:space="0" w:color="000000" w:themeColor="text1"/>
            </w:tcBorders>
            <w:vAlign w:val="center"/>
          </w:tcPr>
          <w:p w:rsidR="00D844A1" w:rsidRDefault="00D844A1" w:rsidP="004A761F">
            <w:pPr>
              <w:jc w:val="center"/>
              <w:rPr>
                <w:b/>
                <w:sz w:val="20"/>
                <w:szCs w:val="20"/>
              </w:rPr>
            </w:pPr>
          </w:p>
        </w:tc>
      </w:tr>
      <w:tr w:rsidR="00D844A1" w:rsidTr="004A761F">
        <w:tc>
          <w:tcPr>
            <w:tcW w:w="14616" w:type="dxa"/>
            <w:gridSpan w:val="5"/>
            <w:tcBorders>
              <w:left w:val="single" w:sz="4" w:space="0" w:color="000000" w:themeColor="text1"/>
            </w:tcBorders>
            <w:shd w:val="clear" w:color="auto" w:fill="FFCC99"/>
            <w:vAlign w:val="center"/>
          </w:tcPr>
          <w:p w:rsidR="00D844A1" w:rsidRDefault="00D844A1" w:rsidP="004A761F">
            <w:pPr>
              <w:jc w:val="center"/>
              <w:rPr>
                <w:b/>
                <w:sz w:val="20"/>
                <w:szCs w:val="20"/>
              </w:rPr>
            </w:pPr>
            <w:r>
              <w:lastRenderedPageBreak/>
              <w:br w:type="page"/>
            </w:r>
            <w:r>
              <w:rPr>
                <w:b/>
                <w:sz w:val="20"/>
                <w:szCs w:val="20"/>
              </w:rPr>
              <w:t>D.5 External auditor and Auditor Report</w:t>
            </w:r>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D.5.1</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Are audit fees disclosed?</w:t>
            </w:r>
          </w:p>
        </w:tc>
        <w:tc>
          <w:tcPr>
            <w:tcW w:w="4252" w:type="dxa"/>
            <w:vMerge w:val="restart"/>
          </w:tcPr>
          <w:p w:rsidR="00D844A1" w:rsidRPr="005550BB" w:rsidRDefault="00D844A1" w:rsidP="004A761F">
            <w:pPr>
              <w:rPr>
                <w:b/>
                <w:bCs/>
                <w:sz w:val="18"/>
                <w:szCs w:val="20"/>
              </w:rPr>
            </w:pPr>
            <w:r w:rsidRPr="005550BB">
              <w:rPr>
                <w:b/>
                <w:bCs/>
                <w:sz w:val="18"/>
                <w:szCs w:val="20"/>
              </w:rPr>
              <w:t xml:space="preserve">OECD Principle V (C): </w:t>
            </w:r>
          </w:p>
          <w:p w:rsidR="00D844A1" w:rsidRPr="005550BB" w:rsidRDefault="00D844A1" w:rsidP="004A761F">
            <w:pPr>
              <w:rPr>
                <w:b/>
                <w:bCs/>
                <w:sz w:val="18"/>
                <w:szCs w:val="20"/>
              </w:rPr>
            </w:pPr>
            <w:r w:rsidRPr="005550BB">
              <w:rPr>
                <w:b/>
                <w:bCs/>
                <w:sz w:val="18"/>
                <w:szCs w:val="20"/>
              </w:rPr>
              <w:t>An annual audit should be conducted by an independent, competent and qualified, auditor in order to provide an external and objective assurance to the board and shareholders that the financial statements fairly represent the financial position and performance of the company in all material respects.</w:t>
            </w:r>
          </w:p>
          <w:p w:rsidR="00D844A1" w:rsidRPr="005550BB" w:rsidRDefault="00D844A1" w:rsidP="004A761F">
            <w:pPr>
              <w:rPr>
                <w:b/>
                <w:bCs/>
                <w:sz w:val="18"/>
                <w:szCs w:val="20"/>
              </w:rPr>
            </w:pPr>
          </w:p>
          <w:p w:rsidR="00D844A1" w:rsidRPr="005550BB" w:rsidRDefault="00D844A1" w:rsidP="004A761F">
            <w:pPr>
              <w:rPr>
                <w:b/>
                <w:bCs/>
                <w:sz w:val="18"/>
                <w:szCs w:val="20"/>
              </w:rPr>
            </w:pPr>
            <w:r w:rsidRPr="005550BB">
              <w:rPr>
                <w:b/>
                <w:bCs/>
                <w:sz w:val="18"/>
                <w:szCs w:val="20"/>
              </w:rPr>
              <w:t>OECD Principle V (D):</w:t>
            </w:r>
          </w:p>
          <w:p w:rsidR="00D844A1" w:rsidRPr="005550BB" w:rsidRDefault="00D844A1" w:rsidP="004A761F">
            <w:pPr>
              <w:rPr>
                <w:b/>
                <w:bCs/>
                <w:sz w:val="18"/>
                <w:szCs w:val="20"/>
              </w:rPr>
            </w:pPr>
            <w:r w:rsidRPr="005550BB">
              <w:rPr>
                <w:b/>
                <w:bCs/>
                <w:sz w:val="18"/>
                <w:szCs w:val="20"/>
              </w:rPr>
              <w:t>External auditors should be accountable to the shareholders and owe a duty to the company to exercise due professional care in the conduct of the audit.</w:t>
            </w:r>
          </w:p>
          <w:p w:rsidR="00D844A1" w:rsidRPr="005550BB" w:rsidRDefault="00D844A1" w:rsidP="004A761F">
            <w:pPr>
              <w:rPr>
                <w:b/>
                <w:bCs/>
                <w:sz w:val="18"/>
                <w:szCs w:val="20"/>
              </w:rPr>
            </w:pPr>
          </w:p>
          <w:p w:rsidR="00D844A1" w:rsidRPr="005550BB" w:rsidRDefault="00D844A1" w:rsidP="004A761F">
            <w:pPr>
              <w:rPr>
                <w:b/>
                <w:bCs/>
                <w:sz w:val="18"/>
                <w:szCs w:val="20"/>
              </w:rPr>
            </w:pPr>
            <w:r w:rsidRPr="005550BB">
              <w:rPr>
                <w:b/>
                <w:bCs/>
                <w:sz w:val="18"/>
                <w:szCs w:val="20"/>
              </w:rPr>
              <w:t>ICGN 6.5 Ethical standards (Audit)</w:t>
            </w:r>
          </w:p>
          <w:p w:rsidR="00D844A1" w:rsidRPr="005550BB" w:rsidRDefault="00D844A1" w:rsidP="004A761F">
            <w:pPr>
              <w:rPr>
                <w:b/>
                <w:bCs/>
                <w:sz w:val="18"/>
                <w:szCs w:val="20"/>
              </w:rPr>
            </w:pPr>
            <w:r w:rsidRPr="005550BB">
              <w:rPr>
                <w:b/>
                <w:bCs/>
                <w:sz w:val="18"/>
                <w:szCs w:val="20"/>
              </w:rPr>
              <w:t xml:space="preserve">The auditors should observe high-quality auditing and ethical standards. To limit the possible risk of possible conflicts of interest, non-audit services and fees paid to auditors for non-audit services should be both approved in advance by the audit committee and </w:t>
            </w:r>
            <w:r>
              <w:rPr>
                <w:b/>
                <w:bCs/>
                <w:sz w:val="18"/>
                <w:szCs w:val="20"/>
              </w:rPr>
              <w:t>disclosed in the Annual Report.</w:t>
            </w:r>
          </w:p>
        </w:tc>
        <w:tc>
          <w:tcPr>
            <w:tcW w:w="1087" w:type="dxa"/>
            <w:vAlign w:val="center"/>
          </w:tcPr>
          <w:p w:rsidR="00D844A1" w:rsidRDefault="00D844A1" w:rsidP="004A761F">
            <w:pPr>
              <w:jc w:val="center"/>
              <w:rPr>
                <w:b/>
                <w:sz w:val="20"/>
                <w:szCs w:val="20"/>
              </w:rPr>
            </w:pPr>
            <w:r>
              <w:rPr>
                <w:b/>
                <w:sz w:val="20"/>
                <w:szCs w:val="20"/>
              </w:rPr>
              <w:t>N</w:t>
            </w:r>
          </w:p>
        </w:tc>
        <w:tc>
          <w:tcPr>
            <w:tcW w:w="3431" w:type="dxa"/>
          </w:tcPr>
          <w:p w:rsidR="00D844A1" w:rsidRDefault="00D844A1" w:rsidP="004A761F">
            <w:pPr>
              <w:rPr>
                <w:b/>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cs="Calibri"/>
                <w:sz w:val="20"/>
                <w:szCs w:val="20"/>
              </w:rPr>
            </w:pPr>
          </w:p>
        </w:tc>
        <w:tc>
          <w:tcPr>
            <w:tcW w:w="4748" w:type="dxa"/>
          </w:tcPr>
          <w:p w:rsidR="00D844A1" w:rsidRDefault="00D844A1" w:rsidP="004A761F">
            <w:pPr>
              <w:rPr>
                <w:rFonts w:ascii="Calibri" w:hAnsi="Calibri" w:cs="Calibri"/>
                <w:sz w:val="20"/>
                <w:szCs w:val="20"/>
              </w:rPr>
            </w:pPr>
            <w:r>
              <w:rPr>
                <w:rFonts w:ascii="Calibri" w:hAnsi="Calibri" w:cs="Calibri"/>
                <w:b/>
                <w:bCs/>
                <w:i/>
                <w:iCs/>
                <w:sz w:val="20"/>
                <w:szCs w:val="20"/>
              </w:rPr>
              <w:t>Where the same audit firm is engaged for both audit and non-audit services</w:t>
            </w:r>
          </w:p>
        </w:tc>
        <w:tc>
          <w:tcPr>
            <w:tcW w:w="4252" w:type="dxa"/>
            <w:vMerge/>
          </w:tcPr>
          <w:p w:rsidR="00D844A1" w:rsidRPr="005550BB" w:rsidRDefault="00D844A1" w:rsidP="004A761F">
            <w:pPr>
              <w:rPr>
                <w:b/>
                <w:bCs/>
                <w:sz w:val="18"/>
                <w:szCs w:val="20"/>
              </w:rPr>
            </w:pPr>
          </w:p>
        </w:tc>
        <w:tc>
          <w:tcPr>
            <w:tcW w:w="1087" w:type="dxa"/>
            <w:vAlign w:val="center"/>
          </w:tcPr>
          <w:p w:rsidR="00D844A1" w:rsidRPr="00AC2358" w:rsidRDefault="00D844A1" w:rsidP="004A761F">
            <w:pPr>
              <w:jc w:val="center"/>
              <w:rPr>
                <w:sz w:val="20"/>
                <w:szCs w:val="20"/>
              </w:rPr>
            </w:pPr>
          </w:p>
        </w:tc>
        <w:tc>
          <w:tcPr>
            <w:tcW w:w="3431" w:type="dxa"/>
          </w:tcPr>
          <w:p w:rsidR="00D844A1" w:rsidRPr="00AC2358" w:rsidRDefault="00D844A1" w:rsidP="004A761F">
            <w:pPr>
              <w:rPr>
                <w:sz w:val="20"/>
                <w:szCs w:val="20"/>
              </w:rPr>
            </w:pPr>
          </w:p>
        </w:tc>
      </w:tr>
      <w:tr w:rsidR="00D844A1" w:rsidTr="004A761F">
        <w:trPr>
          <w:trHeight w:val="299"/>
        </w:trPr>
        <w:tc>
          <w:tcPr>
            <w:tcW w:w="1098" w:type="dxa"/>
            <w:tcBorders>
              <w:left w:val="single" w:sz="4" w:space="0" w:color="000000" w:themeColor="text1"/>
              <w:bottom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D.5.2</w:t>
            </w:r>
          </w:p>
        </w:tc>
        <w:tc>
          <w:tcPr>
            <w:tcW w:w="4748" w:type="dxa"/>
            <w:tcBorders>
              <w:bottom w:val="single" w:sz="4" w:space="0" w:color="auto"/>
            </w:tcBorders>
          </w:tcPr>
          <w:p w:rsidR="00D844A1" w:rsidRDefault="00D844A1" w:rsidP="004A761F">
            <w:pPr>
              <w:rPr>
                <w:rFonts w:ascii="Calibri" w:hAnsi="Calibri" w:cs="Calibri"/>
                <w:sz w:val="20"/>
                <w:szCs w:val="20"/>
              </w:rPr>
            </w:pPr>
            <w:r>
              <w:rPr>
                <w:rFonts w:ascii="Calibri" w:hAnsi="Calibri" w:cs="Calibri"/>
                <w:sz w:val="20"/>
                <w:szCs w:val="20"/>
              </w:rPr>
              <w:t>Are the non-audit fees disclosed?</w:t>
            </w:r>
          </w:p>
        </w:tc>
        <w:tc>
          <w:tcPr>
            <w:tcW w:w="4252" w:type="dxa"/>
            <w:vMerge/>
          </w:tcPr>
          <w:p w:rsidR="00D844A1" w:rsidRPr="005550BB" w:rsidRDefault="00D844A1" w:rsidP="004A761F">
            <w:pPr>
              <w:rPr>
                <w:b/>
                <w:bCs/>
                <w:sz w:val="18"/>
                <w:szCs w:val="20"/>
              </w:rPr>
            </w:pPr>
          </w:p>
        </w:tc>
        <w:tc>
          <w:tcPr>
            <w:tcW w:w="1087" w:type="dxa"/>
            <w:tcBorders>
              <w:bottom w:val="single" w:sz="4" w:space="0" w:color="auto"/>
            </w:tcBorders>
            <w:vAlign w:val="center"/>
          </w:tcPr>
          <w:p w:rsidR="00D844A1" w:rsidRPr="00AC2358" w:rsidRDefault="00D844A1" w:rsidP="004A761F">
            <w:pPr>
              <w:jc w:val="center"/>
              <w:rPr>
                <w:sz w:val="20"/>
                <w:szCs w:val="20"/>
              </w:rPr>
            </w:pPr>
            <w:r w:rsidRPr="00AC2358">
              <w:rPr>
                <w:sz w:val="20"/>
                <w:szCs w:val="20"/>
              </w:rPr>
              <w:t>N</w:t>
            </w:r>
          </w:p>
        </w:tc>
        <w:tc>
          <w:tcPr>
            <w:tcW w:w="3431" w:type="dxa"/>
            <w:tcBorders>
              <w:bottom w:val="single" w:sz="4" w:space="0" w:color="auto"/>
            </w:tcBorders>
          </w:tcPr>
          <w:p w:rsidR="00D844A1" w:rsidRPr="00AC2358" w:rsidRDefault="00D844A1" w:rsidP="004A761F">
            <w:pPr>
              <w:rPr>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cs="Calibri"/>
                <w:sz w:val="20"/>
                <w:szCs w:val="20"/>
              </w:rPr>
            </w:pPr>
            <w:r>
              <w:rPr>
                <w:rFonts w:ascii="Calibri" w:hAnsi="Calibri" w:cs="Calibri"/>
                <w:sz w:val="20"/>
                <w:szCs w:val="20"/>
              </w:rPr>
              <w:t>D.5.3</w:t>
            </w:r>
          </w:p>
        </w:tc>
        <w:tc>
          <w:tcPr>
            <w:tcW w:w="4748" w:type="dxa"/>
          </w:tcPr>
          <w:p w:rsidR="00D844A1" w:rsidRDefault="00D844A1" w:rsidP="004A761F">
            <w:pPr>
              <w:rPr>
                <w:rFonts w:ascii="Calibri" w:hAnsi="Calibri" w:cs="Calibri"/>
                <w:sz w:val="20"/>
                <w:szCs w:val="20"/>
              </w:rPr>
            </w:pPr>
            <w:r>
              <w:rPr>
                <w:rFonts w:ascii="Calibri" w:hAnsi="Calibri" w:cs="Calibri"/>
                <w:sz w:val="20"/>
                <w:szCs w:val="20"/>
              </w:rPr>
              <w:t>Does the non-audit fee exceed the audit fees?</w:t>
            </w:r>
          </w:p>
        </w:tc>
        <w:tc>
          <w:tcPr>
            <w:tcW w:w="4252" w:type="dxa"/>
            <w:vMerge/>
          </w:tcPr>
          <w:p w:rsidR="00D844A1" w:rsidRPr="005550BB" w:rsidRDefault="00D844A1" w:rsidP="004A761F">
            <w:pPr>
              <w:rPr>
                <w:b/>
                <w:bCs/>
                <w:sz w:val="18"/>
                <w:szCs w:val="20"/>
              </w:rPr>
            </w:pPr>
          </w:p>
        </w:tc>
        <w:tc>
          <w:tcPr>
            <w:tcW w:w="1087" w:type="dxa"/>
            <w:tcBorders>
              <w:top w:val="single" w:sz="4" w:space="0" w:color="auto"/>
            </w:tcBorders>
            <w:vAlign w:val="center"/>
          </w:tcPr>
          <w:p w:rsidR="00D844A1" w:rsidRPr="00AC2358" w:rsidRDefault="00D844A1" w:rsidP="004A761F">
            <w:pPr>
              <w:jc w:val="center"/>
              <w:rPr>
                <w:sz w:val="20"/>
                <w:szCs w:val="20"/>
              </w:rPr>
            </w:pPr>
            <w:r w:rsidRPr="00AC2358">
              <w:rPr>
                <w:sz w:val="20"/>
                <w:szCs w:val="20"/>
              </w:rPr>
              <w:t>N</w:t>
            </w:r>
          </w:p>
        </w:tc>
        <w:tc>
          <w:tcPr>
            <w:tcW w:w="3431" w:type="dxa"/>
            <w:tcBorders>
              <w:top w:val="single" w:sz="4" w:space="0" w:color="auto"/>
            </w:tcBorders>
          </w:tcPr>
          <w:p w:rsidR="00D844A1" w:rsidRPr="00AC2358" w:rsidRDefault="00D844A1" w:rsidP="004A761F">
            <w:pPr>
              <w:rPr>
                <w:sz w:val="20"/>
                <w:szCs w:val="20"/>
              </w:rPr>
            </w:pPr>
          </w:p>
        </w:tc>
      </w:tr>
      <w:tr w:rsidR="00D844A1" w:rsidTr="004A761F">
        <w:trPr>
          <w:trHeight w:val="299"/>
        </w:trPr>
        <w:tc>
          <w:tcPr>
            <w:tcW w:w="14616" w:type="dxa"/>
            <w:gridSpan w:val="5"/>
            <w:tcBorders>
              <w:left w:val="single" w:sz="4" w:space="0" w:color="000000" w:themeColor="text1"/>
            </w:tcBorders>
            <w:vAlign w:val="center"/>
          </w:tcPr>
          <w:p w:rsidR="00D844A1" w:rsidRDefault="00D844A1" w:rsidP="004A761F">
            <w:pPr>
              <w:jc w:val="center"/>
              <w:rPr>
                <w:b/>
                <w:sz w:val="20"/>
                <w:szCs w:val="20"/>
              </w:rPr>
            </w:pPr>
          </w:p>
        </w:tc>
      </w:tr>
      <w:tr w:rsidR="00D844A1" w:rsidTr="004A761F">
        <w:trPr>
          <w:trHeight w:val="299"/>
        </w:trPr>
        <w:tc>
          <w:tcPr>
            <w:tcW w:w="14616" w:type="dxa"/>
            <w:gridSpan w:val="5"/>
            <w:tcBorders>
              <w:left w:val="single" w:sz="4" w:space="0" w:color="000000" w:themeColor="text1"/>
              <w:bottom w:val="single" w:sz="4" w:space="0" w:color="000000" w:themeColor="text1"/>
            </w:tcBorders>
            <w:shd w:val="clear" w:color="auto" w:fill="FABF8F" w:themeFill="accent6" w:themeFillTint="99"/>
            <w:vAlign w:val="center"/>
          </w:tcPr>
          <w:p w:rsidR="00D844A1" w:rsidRPr="002753B8" w:rsidRDefault="00D844A1" w:rsidP="004A761F">
            <w:pPr>
              <w:jc w:val="center"/>
              <w:rPr>
                <w:b/>
                <w:sz w:val="20"/>
                <w:szCs w:val="20"/>
              </w:rPr>
            </w:pPr>
            <w:r>
              <w:rPr>
                <w:b/>
                <w:sz w:val="20"/>
                <w:szCs w:val="20"/>
              </w:rPr>
              <w:t xml:space="preserve">D.6 </w:t>
            </w:r>
            <w:r>
              <w:rPr>
                <w:rFonts w:ascii="Calibri" w:hAnsi="Calibri"/>
                <w:b/>
                <w:bCs/>
                <w:sz w:val="20"/>
                <w:szCs w:val="20"/>
              </w:rPr>
              <w:t>Medium of communications</w:t>
            </w: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2753B8" w:rsidRDefault="00D844A1" w:rsidP="004A761F">
            <w:pPr>
              <w:rPr>
                <w:rFonts w:ascii="Calibri" w:hAnsi="Calibri"/>
                <w:b/>
                <w:bCs/>
                <w:i/>
                <w:iCs/>
                <w:sz w:val="20"/>
                <w:szCs w:val="20"/>
              </w:rPr>
            </w:pPr>
            <w:r>
              <w:rPr>
                <w:rFonts w:ascii="Calibri" w:hAnsi="Calibri"/>
                <w:b/>
                <w:bCs/>
                <w:i/>
                <w:iCs/>
                <w:sz w:val="20"/>
                <w:szCs w:val="20"/>
              </w:rPr>
              <w:t>Does the company use the following modes of communication?</w:t>
            </w:r>
          </w:p>
        </w:tc>
        <w:tc>
          <w:tcPr>
            <w:tcW w:w="4252" w:type="dxa"/>
            <w:tcBorders>
              <w:top w:val="single" w:sz="4" w:space="0" w:color="000000" w:themeColor="text1"/>
              <w:left w:val="nil"/>
              <w:bottom w:val="single" w:sz="4" w:space="0" w:color="000000" w:themeColor="text1"/>
              <w:right w:val="nil"/>
            </w:tcBorders>
          </w:tcPr>
          <w:p w:rsidR="00D844A1" w:rsidRPr="005550BB" w:rsidRDefault="00D844A1" w:rsidP="004A761F">
            <w:pPr>
              <w:rPr>
                <w:b/>
                <w:bCs/>
                <w:sz w:val="18"/>
                <w:szCs w:val="20"/>
              </w:rPr>
            </w:pPr>
          </w:p>
        </w:tc>
        <w:tc>
          <w:tcPr>
            <w:tcW w:w="1087" w:type="dxa"/>
            <w:tcBorders>
              <w:top w:val="single" w:sz="4" w:space="0" w:color="000000" w:themeColor="text1"/>
              <w:left w:val="nil"/>
              <w:bottom w:val="single" w:sz="4" w:space="0" w:color="000000" w:themeColor="text1"/>
              <w:right w:val="nil"/>
            </w:tcBorders>
            <w:vAlign w:val="center"/>
          </w:tcPr>
          <w:p w:rsidR="00D844A1" w:rsidRDefault="00D844A1" w:rsidP="004A761F">
            <w:pPr>
              <w:jc w:val="cente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D.6.1</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 xml:space="preserve">Quarterly reporting </w:t>
            </w:r>
          </w:p>
        </w:tc>
        <w:tc>
          <w:tcPr>
            <w:tcW w:w="4252" w:type="dxa"/>
            <w:vMerge w:val="restart"/>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 (E): </w:t>
            </w:r>
            <w:r>
              <w:rPr>
                <w:rFonts w:ascii="Calibri" w:hAnsi="Calibri"/>
                <w:sz w:val="20"/>
                <w:szCs w:val="20"/>
              </w:rPr>
              <w:br/>
              <w:t>Channels for disseminating information should provide for equal, timely and cost-efficient access to relevant information by users.</w:t>
            </w:r>
            <w:r>
              <w:rPr>
                <w:rFonts w:ascii="Calibri" w:hAnsi="Calibri"/>
                <w:sz w:val="20"/>
                <w:szCs w:val="20"/>
              </w:rPr>
              <w:br/>
            </w:r>
            <w:r>
              <w:rPr>
                <w:rFonts w:ascii="Calibri" w:hAnsi="Calibri"/>
                <w:b/>
                <w:bCs/>
                <w:sz w:val="20"/>
                <w:szCs w:val="20"/>
              </w:rPr>
              <w:br/>
              <w:t>ICGN 7.1 Transparent and open communication</w:t>
            </w:r>
            <w:r>
              <w:rPr>
                <w:rFonts w:ascii="Calibri" w:hAnsi="Calibri"/>
                <w:sz w:val="20"/>
                <w:szCs w:val="20"/>
              </w:rPr>
              <w:br/>
              <w:t>Every company should aspire to transparent and open communication about its aims, its challenges, its achievements and its failures.</w:t>
            </w:r>
            <w:r>
              <w:rPr>
                <w:rFonts w:ascii="Calibri" w:hAnsi="Calibri"/>
                <w:sz w:val="20"/>
                <w:szCs w:val="20"/>
              </w:rPr>
              <w:br/>
            </w:r>
            <w:r>
              <w:rPr>
                <w:rFonts w:ascii="Calibri" w:hAnsi="Calibri"/>
                <w:b/>
                <w:bCs/>
                <w:sz w:val="20"/>
                <w:szCs w:val="20"/>
              </w:rPr>
              <w:br/>
              <w:t>ICGN 7.2 Timely disclosure</w:t>
            </w:r>
            <w:r>
              <w:rPr>
                <w:rFonts w:ascii="Calibri" w:hAnsi="Calibri"/>
                <w:sz w:val="20"/>
                <w:szCs w:val="20"/>
              </w:rPr>
              <w:br/>
              <w:t>Companies should disclose relevant and material information concerning themselves on a timely basis, in particular meeting market guidelines where they exist, so as to allow investors to make informed decisions about the acquisition, ownership obligations and rights, and sales of shares.</w:t>
            </w:r>
          </w:p>
        </w:tc>
        <w:tc>
          <w:tcPr>
            <w:tcW w:w="1087" w:type="dxa"/>
            <w:tcBorders>
              <w:top w:val="single" w:sz="4" w:space="0" w:color="000000" w:themeColor="text1"/>
            </w:tcBorders>
            <w:vAlign w:val="center"/>
          </w:tcPr>
          <w:p w:rsidR="00D844A1" w:rsidRPr="00AC2358"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Pr="006A2EEC" w:rsidRDefault="00D844A1" w:rsidP="004A761F">
            <w:pPr>
              <w:rPr>
                <w:b/>
                <w:sz w:val="20"/>
                <w:szCs w:val="20"/>
              </w:rPr>
            </w:pPr>
          </w:p>
          <w:p w:rsidR="00D844A1" w:rsidRPr="006A2EEC" w:rsidRDefault="00D844A1" w:rsidP="004A761F">
            <w:pPr>
              <w:rPr>
                <w:b/>
                <w:sz w:val="20"/>
                <w:szCs w:val="20"/>
              </w:rPr>
            </w:pPr>
            <w:r w:rsidRPr="006A2EEC">
              <w:rPr>
                <w:b/>
                <w:sz w:val="20"/>
                <w:szCs w:val="20"/>
              </w:rPr>
              <w:t>Quarterly Reports to IC</w:t>
            </w:r>
          </w:p>
          <w:p w:rsidR="00D844A1" w:rsidRPr="006A2EEC"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D.6.2</w:t>
            </w:r>
          </w:p>
        </w:tc>
        <w:tc>
          <w:tcPr>
            <w:tcW w:w="4748" w:type="dxa"/>
          </w:tcPr>
          <w:p w:rsidR="00D844A1" w:rsidRDefault="00D844A1" w:rsidP="004A761F">
            <w:pPr>
              <w:rPr>
                <w:rFonts w:ascii="Calibri" w:hAnsi="Calibri"/>
                <w:sz w:val="20"/>
                <w:szCs w:val="20"/>
              </w:rPr>
            </w:pPr>
            <w:r>
              <w:rPr>
                <w:rFonts w:ascii="Calibri" w:hAnsi="Calibri"/>
                <w:sz w:val="20"/>
                <w:szCs w:val="20"/>
              </w:rPr>
              <w:t xml:space="preserve">Company website </w:t>
            </w:r>
          </w:p>
        </w:tc>
        <w:tc>
          <w:tcPr>
            <w:tcW w:w="4252" w:type="dxa"/>
            <w:vMerge/>
            <w:vAlign w:val="center"/>
          </w:tcPr>
          <w:p w:rsidR="00D844A1" w:rsidRDefault="00D844A1" w:rsidP="004A761F">
            <w:pPr>
              <w:rPr>
                <w:rFonts w:ascii="Calibri" w:hAnsi="Calibri"/>
                <w:sz w:val="20"/>
                <w:szCs w:val="20"/>
              </w:rPr>
            </w:pPr>
          </w:p>
        </w:tc>
        <w:tc>
          <w:tcPr>
            <w:tcW w:w="1087" w:type="dxa"/>
            <w:vAlign w:val="center"/>
          </w:tcPr>
          <w:p w:rsidR="00D844A1" w:rsidRPr="00AC2358" w:rsidRDefault="00D844A1" w:rsidP="004A761F">
            <w:pPr>
              <w:jc w:val="center"/>
              <w:rPr>
                <w:sz w:val="20"/>
                <w:szCs w:val="20"/>
              </w:rPr>
            </w:pPr>
            <w:r>
              <w:rPr>
                <w:sz w:val="20"/>
                <w:szCs w:val="20"/>
              </w:rPr>
              <w:t>Y</w:t>
            </w:r>
          </w:p>
        </w:tc>
        <w:tc>
          <w:tcPr>
            <w:tcW w:w="3431" w:type="dxa"/>
          </w:tcPr>
          <w:p w:rsidR="00D844A1" w:rsidRPr="006A2EEC" w:rsidRDefault="00ED297A" w:rsidP="004A761F">
            <w:pPr>
              <w:rPr>
                <w:b/>
                <w:sz w:val="20"/>
                <w:szCs w:val="20"/>
              </w:rPr>
            </w:pPr>
            <w:hyperlink r:id="rId27" w:history="1">
              <w:r w:rsidR="00D844A1" w:rsidRPr="006A2EEC">
                <w:rPr>
                  <w:rStyle w:val="Hyperlink"/>
                  <w:b/>
                  <w:sz w:val="20"/>
                  <w:szCs w:val="20"/>
                </w:rPr>
                <w:t>Company website (Contact Information)</w:t>
              </w:r>
            </w:hyperlink>
          </w:p>
          <w:p w:rsidR="00D844A1" w:rsidRPr="006A2EEC"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D.6.3</w:t>
            </w:r>
          </w:p>
        </w:tc>
        <w:tc>
          <w:tcPr>
            <w:tcW w:w="4748" w:type="dxa"/>
          </w:tcPr>
          <w:p w:rsidR="00D844A1" w:rsidRDefault="00D844A1" w:rsidP="004A761F">
            <w:pPr>
              <w:rPr>
                <w:rFonts w:ascii="Calibri" w:hAnsi="Calibri"/>
                <w:sz w:val="20"/>
                <w:szCs w:val="20"/>
              </w:rPr>
            </w:pPr>
            <w:r>
              <w:rPr>
                <w:rFonts w:ascii="Calibri" w:hAnsi="Calibri"/>
                <w:sz w:val="20"/>
                <w:szCs w:val="20"/>
              </w:rPr>
              <w:t>Analyst’s briefing</w:t>
            </w:r>
          </w:p>
        </w:tc>
        <w:tc>
          <w:tcPr>
            <w:tcW w:w="4252" w:type="dxa"/>
            <w:vMerge/>
            <w:vAlign w:val="center"/>
          </w:tcPr>
          <w:p w:rsidR="00D844A1" w:rsidRDefault="00D844A1" w:rsidP="004A761F">
            <w:pPr>
              <w:rPr>
                <w:rFonts w:ascii="Calibri" w:hAnsi="Calibri"/>
                <w:sz w:val="20"/>
                <w:szCs w:val="20"/>
              </w:rPr>
            </w:pPr>
          </w:p>
        </w:tc>
        <w:tc>
          <w:tcPr>
            <w:tcW w:w="1087" w:type="dxa"/>
            <w:vAlign w:val="center"/>
          </w:tcPr>
          <w:p w:rsidR="00D844A1" w:rsidRPr="00AC2358" w:rsidRDefault="00D844A1" w:rsidP="004A761F">
            <w:pPr>
              <w:jc w:val="center"/>
              <w:rPr>
                <w:sz w:val="20"/>
                <w:szCs w:val="20"/>
              </w:rPr>
            </w:pPr>
            <w:r>
              <w:rPr>
                <w:sz w:val="20"/>
                <w:szCs w:val="20"/>
              </w:rPr>
              <w:t>N/A</w:t>
            </w:r>
          </w:p>
        </w:tc>
        <w:tc>
          <w:tcPr>
            <w:tcW w:w="3431" w:type="dxa"/>
          </w:tcPr>
          <w:p w:rsidR="00D844A1" w:rsidRPr="00AC2358" w:rsidRDefault="00D844A1" w:rsidP="004A761F">
            <w:pPr>
              <w:rPr>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D.6.4</w:t>
            </w:r>
          </w:p>
        </w:tc>
        <w:tc>
          <w:tcPr>
            <w:tcW w:w="4748" w:type="dxa"/>
          </w:tcPr>
          <w:p w:rsidR="00D844A1" w:rsidRDefault="00D844A1" w:rsidP="004A761F">
            <w:pPr>
              <w:rPr>
                <w:rFonts w:ascii="Calibri" w:hAnsi="Calibri"/>
                <w:sz w:val="20"/>
                <w:szCs w:val="20"/>
              </w:rPr>
            </w:pPr>
            <w:r>
              <w:rPr>
                <w:rFonts w:ascii="Calibri" w:hAnsi="Calibri"/>
                <w:sz w:val="20"/>
                <w:szCs w:val="20"/>
              </w:rPr>
              <w:t>Media briefings /press conferences</w:t>
            </w:r>
          </w:p>
        </w:tc>
        <w:tc>
          <w:tcPr>
            <w:tcW w:w="4252" w:type="dxa"/>
            <w:vMerge/>
            <w:vAlign w:val="center"/>
          </w:tcPr>
          <w:p w:rsidR="00D844A1" w:rsidRDefault="00D844A1" w:rsidP="004A761F">
            <w:pPr>
              <w:rPr>
                <w:rFonts w:ascii="Calibri" w:hAnsi="Calibri"/>
                <w:sz w:val="20"/>
                <w:szCs w:val="20"/>
              </w:rPr>
            </w:pPr>
          </w:p>
        </w:tc>
        <w:tc>
          <w:tcPr>
            <w:tcW w:w="1087" w:type="dxa"/>
            <w:vAlign w:val="center"/>
          </w:tcPr>
          <w:p w:rsidR="00D844A1" w:rsidRPr="00AC2358" w:rsidRDefault="00D844A1" w:rsidP="004A761F">
            <w:pPr>
              <w:jc w:val="center"/>
              <w:rPr>
                <w:sz w:val="20"/>
                <w:szCs w:val="20"/>
              </w:rPr>
            </w:pPr>
            <w:r w:rsidRPr="00AC2358">
              <w:rPr>
                <w:sz w:val="20"/>
                <w:szCs w:val="20"/>
              </w:rPr>
              <w:t>N/A</w:t>
            </w:r>
          </w:p>
        </w:tc>
        <w:tc>
          <w:tcPr>
            <w:tcW w:w="3431" w:type="dxa"/>
          </w:tcPr>
          <w:p w:rsidR="00D844A1" w:rsidRDefault="00D844A1" w:rsidP="004A761F">
            <w:pPr>
              <w:rPr>
                <w:b/>
                <w:sz w:val="20"/>
                <w:szCs w:val="20"/>
              </w:rPr>
            </w:pPr>
          </w:p>
        </w:tc>
      </w:tr>
      <w:tr w:rsidR="00D844A1" w:rsidTr="004A761F">
        <w:trPr>
          <w:trHeight w:val="299"/>
        </w:trPr>
        <w:tc>
          <w:tcPr>
            <w:tcW w:w="14616" w:type="dxa"/>
            <w:gridSpan w:val="5"/>
            <w:tcBorders>
              <w:left w:val="single" w:sz="4" w:space="0" w:color="000000" w:themeColor="text1"/>
            </w:tcBorders>
            <w:vAlign w:val="center"/>
          </w:tcPr>
          <w:p w:rsidR="00D844A1" w:rsidRDefault="00D844A1" w:rsidP="004A761F">
            <w:pPr>
              <w:jc w:val="center"/>
              <w:rPr>
                <w:b/>
                <w:sz w:val="20"/>
                <w:szCs w:val="20"/>
              </w:rPr>
            </w:pPr>
          </w:p>
        </w:tc>
      </w:tr>
      <w:tr w:rsidR="00D844A1" w:rsidTr="004A761F">
        <w:trPr>
          <w:trHeight w:val="299"/>
        </w:trPr>
        <w:tc>
          <w:tcPr>
            <w:tcW w:w="14616" w:type="dxa"/>
            <w:gridSpan w:val="5"/>
            <w:tcBorders>
              <w:left w:val="single" w:sz="4" w:space="0" w:color="000000" w:themeColor="text1"/>
            </w:tcBorders>
            <w:shd w:val="clear" w:color="auto" w:fill="FABF8F" w:themeFill="accent6" w:themeFillTint="99"/>
            <w:vAlign w:val="center"/>
          </w:tcPr>
          <w:p w:rsidR="00D844A1" w:rsidRPr="00EE47A5" w:rsidRDefault="00D844A1" w:rsidP="004A761F">
            <w:pPr>
              <w:jc w:val="center"/>
              <w:rPr>
                <w:b/>
                <w:sz w:val="20"/>
                <w:szCs w:val="20"/>
              </w:rPr>
            </w:pPr>
            <w:r>
              <w:rPr>
                <w:b/>
                <w:sz w:val="20"/>
                <w:szCs w:val="20"/>
              </w:rPr>
              <w:t xml:space="preserve">D.7 </w:t>
            </w:r>
            <w:r>
              <w:rPr>
                <w:rFonts w:ascii="Calibri" w:hAnsi="Calibri"/>
                <w:b/>
                <w:bCs/>
                <w:sz w:val="20"/>
                <w:szCs w:val="20"/>
              </w:rPr>
              <w:t>Timely filing/release of annual/financial reports</w:t>
            </w: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D.7.1</w:t>
            </w:r>
          </w:p>
        </w:tc>
        <w:tc>
          <w:tcPr>
            <w:tcW w:w="4748" w:type="dxa"/>
          </w:tcPr>
          <w:p w:rsidR="00D844A1" w:rsidRDefault="00D844A1" w:rsidP="004A761F">
            <w:pPr>
              <w:rPr>
                <w:rFonts w:ascii="Calibri" w:hAnsi="Calibri"/>
                <w:sz w:val="20"/>
                <w:szCs w:val="20"/>
              </w:rPr>
            </w:pPr>
            <w:r>
              <w:rPr>
                <w:rFonts w:ascii="Calibri" w:hAnsi="Calibri"/>
                <w:sz w:val="20"/>
                <w:szCs w:val="20"/>
              </w:rPr>
              <w:t>Are the audited annual financial report / statement released within 120 days from the financial year end?</w:t>
            </w:r>
          </w:p>
        </w:tc>
        <w:tc>
          <w:tcPr>
            <w:tcW w:w="4252" w:type="dxa"/>
            <w:vMerge w:val="restart"/>
          </w:tcPr>
          <w:p w:rsidR="00D844A1" w:rsidRDefault="00D844A1" w:rsidP="004A761F">
            <w:pPr>
              <w:rPr>
                <w:rFonts w:ascii="Calibri" w:hAnsi="Calibri"/>
                <w:sz w:val="20"/>
                <w:szCs w:val="20"/>
              </w:rPr>
            </w:pPr>
            <w:r>
              <w:rPr>
                <w:rFonts w:ascii="Calibri" w:hAnsi="Calibri"/>
                <w:b/>
                <w:bCs/>
                <w:sz w:val="20"/>
                <w:szCs w:val="20"/>
              </w:rPr>
              <w:t xml:space="preserve">OECD Principle V (C) </w:t>
            </w:r>
            <w:r>
              <w:rPr>
                <w:rFonts w:ascii="Calibri" w:hAnsi="Calibri"/>
                <w:b/>
                <w:bCs/>
                <w:sz w:val="20"/>
                <w:szCs w:val="20"/>
              </w:rPr>
              <w:br/>
            </w:r>
            <w:r>
              <w:rPr>
                <w:rFonts w:ascii="Calibri" w:hAnsi="Calibri"/>
                <w:b/>
                <w:bCs/>
                <w:sz w:val="20"/>
                <w:szCs w:val="20"/>
              </w:rPr>
              <w:br/>
              <w:t xml:space="preserve">OECD Principle V (E) OECD Principle V-(A). </w:t>
            </w:r>
            <w:r>
              <w:rPr>
                <w:rFonts w:ascii="Calibri" w:hAnsi="Calibri"/>
                <w:b/>
                <w:bCs/>
                <w:sz w:val="20"/>
                <w:szCs w:val="20"/>
              </w:rPr>
              <w:br/>
            </w:r>
            <w:r>
              <w:rPr>
                <w:rFonts w:ascii="Calibri" w:hAnsi="Calibri"/>
                <w:b/>
                <w:bCs/>
                <w:sz w:val="20"/>
                <w:szCs w:val="20"/>
              </w:rPr>
              <w:br/>
              <w:t>ICGN 7.2 Timely disclosure</w:t>
            </w:r>
            <w:r>
              <w:rPr>
                <w:rFonts w:ascii="Calibri" w:hAnsi="Calibri"/>
                <w:sz w:val="20"/>
                <w:szCs w:val="20"/>
              </w:rPr>
              <w:br/>
            </w:r>
            <w:r>
              <w:rPr>
                <w:rFonts w:ascii="Calibri" w:hAnsi="Calibri"/>
                <w:b/>
                <w:bCs/>
                <w:sz w:val="20"/>
                <w:szCs w:val="20"/>
              </w:rPr>
              <w:br/>
              <w:t>ICGN 7.3 Affirmation of financial statements</w:t>
            </w:r>
            <w:r>
              <w:rPr>
                <w:rFonts w:ascii="Calibri" w:hAnsi="Calibri"/>
                <w:sz w:val="20"/>
                <w:szCs w:val="20"/>
              </w:rPr>
              <w:br/>
              <w:t>The board of directors and the corporate officers of the company should affirm at least annually the accuracy of the company's financial statements or financial accounts.</w:t>
            </w:r>
          </w:p>
        </w:tc>
        <w:tc>
          <w:tcPr>
            <w:tcW w:w="1087" w:type="dxa"/>
            <w:vAlign w:val="center"/>
          </w:tcPr>
          <w:p w:rsidR="00D844A1" w:rsidRPr="001E409A" w:rsidRDefault="00D844A1" w:rsidP="004A761F">
            <w:pPr>
              <w:jc w:val="center"/>
              <w:rPr>
                <w:sz w:val="20"/>
                <w:szCs w:val="20"/>
              </w:rPr>
            </w:pPr>
            <w:r>
              <w:rPr>
                <w:sz w:val="20"/>
                <w:szCs w:val="20"/>
              </w:rPr>
              <w:t>Y</w:t>
            </w:r>
          </w:p>
        </w:tc>
        <w:tc>
          <w:tcPr>
            <w:tcW w:w="3431" w:type="dxa"/>
            <w:vAlign w:val="center"/>
          </w:tcPr>
          <w:p w:rsidR="00D844A1" w:rsidRPr="002B4599" w:rsidRDefault="00ED297A" w:rsidP="004A761F">
            <w:pPr>
              <w:rPr>
                <w:b/>
                <w:sz w:val="20"/>
                <w:szCs w:val="20"/>
              </w:rPr>
            </w:pPr>
            <w:hyperlink r:id="rId28" w:history="1">
              <w:r w:rsidR="00D844A1" w:rsidRPr="002B4599">
                <w:rPr>
                  <w:rStyle w:val="Hyperlink"/>
                  <w:b/>
                  <w:sz w:val="20"/>
                  <w:szCs w:val="20"/>
                </w:rPr>
                <w:t>Audited Financial Statement</w:t>
              </w:r>
            </w:hyperlink>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D.7.2</w:t>
            </w:r>
          </w:p>
        </w:tc>
        <w:tc>
          <w:tcPr>
            <w:tcW w:w="4748" w:type="dxa"/>
          </w:tcPr>
          <w:p w:rsidR="00D844A1" w:rsidRDefault="00D844A1" w:rsidP="004A761F">
            <w:pPr>
              <w:rPr>
                <w:rFonts w:ascii="Calibri" w:hAnsi="Calibri"/>
                <w:sz w:val="20"/>
                <w:szCs w:val="20"/>
              </w:rPr>
            </w:pPr>
            <w:r>
              <w:rPr>
                <w:rFonts w:ascii="Calibri" w:hAnsi="Calibri"/>
                <w:sz w:val="20"/>
                <w:szCs w:val="20"/>
              </w:rPr>
              <w:t>Is the annual report released within 120 days from the financial year end?</w:t>
            </w:r>
          </w:p>
        </w:tc>
        <w:tc>
          <w:tcPr>
            <w:tcW w:w="4252" w:type="dxa"/>
            <w:vMerge/>
            <w:vAlign w:val="center"/>
          </w:tcPr>
          <w:p w:rsidR="00D844A1" w:rsidRDefault="00D844A1" w:rsidP="004A761F">
            <w:pPr>
              <w:rPr>
                <w:rFonts w:ascii="Calibri" w:hAnsi="Calibri"/>
                <w:sz w:val="20"/>
                <w:szCs w:val="20"/>
              </w:rPr>
            </w:pPr>
          </w:p>
        </w:tc>
        <w:tc>
          <w:tcPr>
            <w:tcW w:w="1087" w:type="dxa"/>
            <w:vAlign w:val="center"/>
          </w:tcPr>
          <w:p w:rsidR="00D844A1" w:rsidRPr="001E409A" w:rsidRDefault="00D844A1" w:rsidP="004A761F">
            <w:pPr>
              <w:jc w:val="center"/>
              <w:rPr>
                <w:sz w:val="20"/>
                <w:szCs w:val="20"/>
              </w:rPr>
            </w:pPr>
            <w:r>
              <w:rPr>
                <w:sz w:val="20"/>
                <w:szCs w:val="20"/>
              </w:rPr>
              <w:t>Y</w:t>
            </w:r>
          </w:p>
        </w:tc>
        <w:tc>
          <w:tcPr>
            <w:tcW w:w="3431" w:type="dxa"/>
            <w:vAlign w:val="center"/>
          </w:tcPr>
          <w:p w:rsidR="00D844A1" w:rsidRPr="002B4599" w:rsidRDefault="00D844A1" w:rsidP="004A761F">
            <w:pPr>
              <w:rPr>
                <w:b/>
                <w:sz w:val="20"/>
                <w:szCs w:val="20"/>
              </w:rPr>
            </w:pPr>
            <w:r w:rsidRPr="002B4599">
              <w:rPr>
                <w:b/>
                <w:sz w:val="20"/>
                <w:szCs w:val="20"/>
              </w:rPr>
              <w:t>Annual Report</w:t>
            </w: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 xml:space="preserve">D.7.3 </w:t>
            </w:r>
          </w:p>
        </w:tc>
        <w:tc>
          <w:tcPr>
            <w:tcW w:w="4748" w:type="dxa"/>
          </w:tcPr>
          <w:p w:rsidR="00D844A1" w:rsidRDefault="00D844A1" w:rsidP="004A761F">
            <w:pPr>
              <w:rPr>
                <w:rFonts w:ascii="Calibri" w:hAnsi="Calibri"/>
                <w:sz w:val="20"/>
                <w:szCs w:val="20"/>
              </w:rPr>
            </w:pPr>
            <w:r>
              <w:rPr>
                <w:rFonts w:ascii="Calibri" w:hAnsi="Calibri"/>
                <w:sz w:val="20"/>
                <w:szCs w:val="20"/>
              </w:rPr>
              <w:t>Is the true and fairness/fair representation of the annual financial statement/reports affirmed by the board of directors/commissioners and/or the relevant officers of the company?</w:t>
            </w:r>
          </w:p>
        </w:tc>
        <w:tc>
          <w:tcPr>
            <w:tcW w:w="4252" w:type="dxa"/>
            <w:vMerge/>
            <w:vAlign w:val="center"/>
          </w:tcPr>
          <w:p w:rsidR="00D844A1" w:rsidRDefault="00D844A1" w:rsidP="004A761F">
            <w:pPr>
              <w:rPr>
                <w:rFonts w:ascii="Calibri" w:hAnsi="Calibri"/>
                <w:sz w:val="20"/>
                <w:szCs w:val="20"/>
              </w:rPr>
            </w:pPr>
          </w:p>
        </w:tc>
        <w:tc>
          <w:tcPr>
            <w:tcW w:w="1087" w:type="dxa"/>
            <w:vAlign w:val="center"/>
          </w:tcPr>
          <w:p w:rsidR="00D844A1" w:rsidRPr="001E409A" w:rsidRDefault="00D844A1" w:rsidP="004A761F">
            <w:pPr>
              <w:jc w:val="center"/>
              <w:rPr>
                <w:sz w:val="20"/>
                <w:szCs w:val="20"/>
              </w:rPr>
            </w:pPr>
            <w:r>
              <w:rPr>
                <w:sz w:val="20"/>
                <w:szCs w:val="20"/>
              </w:rPr>
              <w:t>Y</w:t>
            </w:r>
          </w:p>
        </w:tc>
        <w:tc>
          <w:tcPr>
            <w:tcW w:w="3431" w:type="dxa"/>
            <w:vAlign w:val="center"/>
          </w:tcPr>
          <w:p w:rsidR="00D844A1" w:rsidRPr="002B4599" w:rsidRDefault="00ED297A" w:rsidP="004A761F">
            <w:pPr>
              <w:rPr>
                <w:b/>
                <w:sz w:val="20"/>
                <w:szCs w:val="20"/>
              </w:rPr>
            </w:pPr>
            <w:hyperlink r:id="rId29" w:history="1">
              <w:r w:rsidR="00D844A1" w:rsidRPr="002B4599">
                <w:rPr>
                  <w:rStyle w:val="Hyperlink"/>
                  <w:b/>
                  <w:sz w:val="20"/>
                  <w:szCs w:val="20"/>
                </w:rPr>
                <w:t>Audited Financial Statement</w:t>
              </w:r>
            </w:hyperlink>
          </w:p>
        </w:tc>
      </w:tr>
      <w:tr w:rsidR="00D844A1" w:rsidTr="004A761F">
        <w:trPr>
          <w:trHeight w:val="299"/>
        </w:trPr>
        <w:tc>
          <w:tcPr>
            <w:tcW w:w="14616" w:type="dxa"/>
            <w:gridSpan w:val="5"/>
            <w:tcBorders>
              <w:left w:val="single" w:sz="4" w:space="0" w:color="000000" w:themeColor="text1"/>
            </w:tcBorders>
            <w:vAlign w:val="center"/>
          </w:tcPr>
          <w:p w:rsidR="00D844A1" w:rsidRDefault="00D844A1" w:rsidP="004A761F">
            <w:pPr>
              <w:jc w:val="center"/>
              <w:rPr>
                <w:b/>
                <w:sz w:val="20"/>
                <w:szCs w:val="20"/>
              </w:rPr>
            </w:pPr>
          </w:p>
        </w:tc>
      </w:tr>
      <w:tr w:rsidR="00D844A1" w:rsidTr="004A761F">
        <w:trPr>
          <w:trHeight w:val="299"/>
        </w:trPr>
        <w:tc>
          <w:tcPr>
            <w:tcW w:w="14616" w:type="dxa"/>
            <w:gridSpan w:val="5"/>
            <w:tcBorders>
              <w:left w:val="single" w:sz="4" w:space="0" w:color="000000" w:themeColor="text1"/>
              <w:bottom w:val="single" w:sz="4" w:space="0" w:color="000000" w:themeColor="text1"/>
            </w:tcBorders>
            <w:shd w:val="clear" w:color="auto" w:fill="FABF8F" w:themeFill="accent6" w:themeFillTint="99"/>
            <w:vAlign w:val="center"/>
          </w:tcPr>
          <w:p w:rsidR="00D844A1" w:rsidRPr="00EE47A5" w:rsidRDefault="00D844A1" w:rsidP="004A761F">
            <w:pPr>
              <w:jc w:val="center"/>
              <w:rPr>
                <w:b/>
                <w:sz w:val="20"/>
                <w:szCs w:val="20"/>
              </w:rPr>
            </w:pPr>
            <w:r>
              <w:rPr>
                <w:b/>
                <w:sz w:val="20"/>
                <w:szCs w:val="20"/>
              </w:rPr>
              <w:t xml:space="preserve">D.8 </w:t>
            </w:r>
            <w:r>
              <w:rPr>
                <w:rFonts w:ascii="Calibri" w:hAnsi="Calibri"/>
                <w:b/>
                <w:bCs/>
                <w:sz w:val="20"/>
                <w:szCs w:val="20"/>
              </w:rPr>
              <w:t>Company website</w:t>
            </w: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EE47A5" w:rsidRDefault="00D844A1" w:rsidP="004A761F">
            <w:pPr>
              <w:rPr>
                <w:rFonts w:ascii="Calibri" w:hAnsi="Calibri"/>
                <w:b/>
                <w:bCs/>
                <w:i/>
                <w:iCs/>
                <w:sz w:val="20"/>
                <w:szCs w:val="20"/>
              </w:rPr>
            </w:pPr>
            <w:r>
              <w:rPr>
                <w:rFonts w:ascii="Calibri" w:hAnsi="Calibri"/>
                <w:b/>
                <w:bCs/>
                <w:i/>
                <w:iCs/>
                <w:sz w:val="20"/>
                <w:szCs w:val="20"/>
              </w:rPr>
              <w:t>Does the company have a website disclosing up-to-date information on the following:</w:t>
            </w:r>
          </w:p>
        </w:tc>
        <w:tc>
          <w:tcPr>
            <w:tcW w:w="4252" w:type="dxa"/>
            <w:tcBorders>
              <w:top w:val="single" w:sz="4" w:space="0" w:color="000000" w:themeColor="text1"/>
              <w:left w:val="nil"/>
              <w:bottom w:val="single" w:sz="4" w:space="0" w:color="000000" w:themeColor="text1"/>
              <w:right w:val="nil"/>
            </w:tcBorders>
          </w:tcPr>
          <w:p w:rsidR="00D844A1" w:rsidRPr="005550BB" w:rsidRDefault="00D844A1" w:rsidP="004A761F">
            <w:pPr>
              <w:rPr>
                <w:b/>
                <w:bCs/>
                <w:sz w:val="18"/>
                <w:szCs w:val="20"/>
              </w:rPr>
            </w:pPr>
          </w:p>
        </w:tc>
        <w:tc>
          <w:tcPr>
            <w:tcW w:w="1087" w:type="dxa"/>
            <w:tcBorders>
              <w:top w:val="single" w:sz="4" w:space="0" w:color="000000" w:themeColor="text1"/>
              <w:left w:val="nil"/>
              <w:bottom w:val="single" w:sz="4" w:space="0" w:color="000000" w:themeColor="text1"/>
              <w:right w:val="nil"/>
            </w:tcBorders>
            <w:vAlign w:val="center"/>
          </w:tcPr>
          <w:p w:rsidR="00D844A1" w:rsidRDefault="00D844A1" w:rsidP="004A761F">
            <w:pPr>
              <w:jc w:val="cente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D.8.1</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Business operations</w:t>
            </w:r>
          </w:p>
        </w:tc>
        <w:tc>
          <w:tcPr>
            <w:tcW w:w="4252" w:type="dxa"/>
            <w:vMerge w:val="restart"/>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OECD Principle V (A)</w:t>
            </w:r>
            <w:r>
              <w:rPr>
                <w:rFonts w:ascii="Calibri" w:hAnsi="Calibri"/>
                <w:b/>
                <w:bCs/>
                <w:sz w:val="20"/>
                <w:szCs w:val="20"/>
              </w:rPr>
              <w:br/>
            </w:r>
            <w:r>
              <w:rPr>
                <w:rFonts w:ascii="Calibri" w:hAnsi="Calibri"/>
                <w:b/>
                <w:bCs/>
                <w:sz w:val="20"/>
                <w:szCs w:val="20"/>
              </w:rPr>
              <w:br/>
              <w:t xml:space="preserve">OECD Principle V (E) </w:t>
            </w:r>
            <w:r>
              <w:rPr>
                <w:rFonts w:ascii="Calibri" w:hAnsi="Calibri"/>
                <w:b/>
                <w:bCs/>
                <w:sz w:val="20"/>
                <w:szCs w:val="20"/>
              </w:rPr>
              <w:br/>
            </w:r>
            <w:r>
              <w:rPr>
                <w:rFonts w:ascii="Calibri" w:hAnsi="Calibri"/>
                <w:b/>
                <w:bCs/>
                <w:sz w:val="20"/>
                <w:szCs w:val="20"/>
              </w:rPr>
              <w:br/>
              <w:t>ICGN 7.1 Transparent and open communication</w:t>
            </w:r>
            <w:r>
              <w:rPr>
                <w:rFonts w:ascii="Calibri" w:hAnsi="Calibri"/>
                <w:b/>
                <w:bCs/>
                <w:sz w:val="20"/>
                <w:szCs w:val="20"/>
              </w:rPr>
              <w:br/>
            </w:r>
            <w:r>
              <w:rPr>
                <w:rFonts w:ascii="Calibri" w:hAnsi="Calibri"/>
                <w:b/>
                <w:bCs/>
                <w:sz w:val="20"/>
                <w:szCs w:val="20"/>
              </w:rPr>
              <w:br/>
              <w:t>ICGN 7.2 Timely disclosure</w:t>
            </w:r>
          </w:p>
        </w:tc>
        <w:tc>
          <w:tcPr>
            <w:tcW w:w="1087" w:type="dxa"/>
            <w:tcBorders>
              <w:top w:val="single" w:sz="4" w:space="0" w:color="000000" w:themeColor="text1"/>
            </w:tcBorders>
            <w:vAlign w:val="center"/>
          </w:tcPr>
          <w:p w:rsidR="00D844A1" w:rsidRPr="003A1F1A"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Pr="002B4599" w:rsidRDefault="00D844A1" w:rsidP="004A761F">
            <w:pPr>
              <w:rPr>
                <w:b/>
                <w:sz w:val="20"/>
                <w:szCs w:val="20"/>
              </w:rPr>
            </w:pPr>
            <w:r w:rsidRPr="002B4599">
              <w:rPr>
                <w:b/>
                <w:sz w:val="20"/>
                <w:szCs w:val="20"/>
              </w:rPr>
              <w:t xml:space="preserve">The </w:t>
            </w:r>
            <w:hyperlink r:id="rId30" w:anchor="top" w:history="1">
              <w:r w:rsidRPr="002B4599">
                <w:rPr>
                  <w:rStyle w:val="Hyperlink"/>
                  <w:b/>
                  <w:sz w:val="20"/>
                  <w:szCs w:val="20"/>
                </w:rPr>
                <w:t>company website</w:t>
              </w:r>
            </w:hyperlink>
            <w:r w:rsidRPr="002B4599">
              <w:rPr>
                <w:b/>
                <w:sz w:val="20"/>
                <w:szCs w:val="20"/>
              </w:rPr>
              <w:t xml:space="preserve"> provides the individual insurance services for easy access of the customers.</w:t>
            </w:r>
          </w:p>
          <w:p w:rsidR="00D844A1" w:rsidRPr="002B4599"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D.8.2</w:t>
            </w:r>
          </w:p>
        </w:tc>
        <w:tc>
          <w:tcPr>
            <w:tcW w:w="4748" w:type="dxa"/>
          </w:tcPr>
          <w:p w:rsidR="00D844A1" w:rsidRDefault="00D844A1" w:rsidP="004A761F">
            <w:pPr>
              <w:rPr>
                <w:rFonts w:ascii="Calibri" w:hAnsi="Calibri"/>
                <w:sz w:val="20"/>
                <w:szCs w:val="20"/>
              </w:rPr>
            </w:pPr>
            <w:r>
              <w:rPr>
                <w:rFonts w:ascii="Calibri" w:hAnsi="Calibri"/>
                <w:sz w:val="20"/>
                <w:szCs w:val="20"/>
              </w:rPr>
              <w:t>Financial statements/reports (current and prior years)</w:t>
            </w:r>
          </w:p>
        </w:tc>
        <w:tc>
          <w:tcPr>
            <w:tcW w:w="4252" w:type="dxa"/>
            <w:vMerge/>
            <w:vAlign w:val="center"/>
          </w:tcPr>
          <w:p w:rsidR="00D844A1" w:rsidRDefault="00D844A1" w:rsidP="004A761F">
            <w:pPr>
              <w:rPr>
                <w:rFonts w:ascii="Calibri" w:hAnsi="Calibri"/>
                <w:sz w:val="20"/>
                <w:szCs w:val="20"/>
              </w:rPr>
            </w:pPr>
          </w:p>
        </w:tc>
        <w:tc>
          <w:tcPr>
            <w:tcW w:w="1087" w:type="dxa"/>
            <w:vAlign w:val="center"/>
          </w:tcPr>
          <w:p w:rsidR="00D844A1" w:rsidRPr="003A1F1A" w:rsidRDefault="00D844A1" w:rsidP="004A761F">
            <w:pPr>
              <w:jc w:val="center"/>
              <w:rPr>
                <w:sz w:val="20"/>
                <w:szCs w:val="20"/>
              </w:rPr>
            </w:pPr>
            <w:r>
              <w:rPr>
                <w:sz w:val="20"/>
                <w:szCs w:val="20"/>
              </w:rPr>
              <w:t>Y</w:t>
            </w:r>
          </w:p>
        </w:tc>
        <w:tc>
          <w:tcPr>
            <w:tcW w:w="3431" w:type="dxa"/>
          </w:tcPr>
          <w:p w:rsidR="00D844A1" w:rsidRPr="002B4599" w:rsidRDefault="00D844A1" w:rsidP="004A761F">
            <w:pPr>
              <w:rPr>
                <w:b/>
                <w:sz w:val="20"/>
                <w:szCs w:val="20"/>
              </w:rPr>
            </w:pPr>
            <w:r w:rsidRPr="002B4599">
              <w:rPr>
                <w:b/>
                <w:sz w:val="20"/>
                <w:szCs w:val="20"/>
              </w:rPr>
              <w:t xml:space="preserve">The </w:t>
            </w:r>
            <w:hyperlink r:id="rId31" w:history="1">
              <w:r w:rsidRPr="002B4599">
                <w:rPr>
                  <w:rStyle w:val="Hyperlink"/>
                  <w:b/>
                  <w:sz w:val="20"/>
                  <w:szCs w:val="20"/>
                </w:rPr>
                <w:t>financial statements/reports</w:t>
              </w:r>
            </w:hyperlink>
            <w:r w:rsidRPr="002B4599">
              <w:rPr>
                <w:b/>
                <w:sz w:val="20"/>
                <w:szCs w:val="20"/>
              </w:rPr>
              <w:t xml:space="preserve"> are duly posted at the Company website.</w:t>
            </w:r>
          </w:p>
          <w:p w:rsidR="00D844A1" w:rsidRPr="002B4599"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D.8.3</w:t>
            </w:r>
          </w:p>
        </w:tc>
        <w:tc>
          <w:tcPr>
            <w:tcW w:w="4748" w:type="dxa"/>
          </w:tcPr>
          <w:p w:rsidR="00D844A1" w:rsidRDefault="00D844A1" w:rsidP="004A761F">
            <w:pPr>
              <w:rPr>
                <w:rFonts w:ascii="Calibri" w:hAnsi="Calibri"/>
                <w:sz w:val="20"/>
                <w:szCs w:val="20"/>
              </w:rPr>
            </w:pPr>
            <w:r>
              <w:rPr>
                <w:rFonts w:ascii="Calibri" w:hAnsi="Calibri"/>
                <w:sz w:val="20"/>
                <w:szCs w:val="20"/>
              </w:rPr>
              <w:t>Materials provided in briefings to analysts and media</w:t>
            </w:r>
          </w:p>
        </w:tc>
        <w:tc>
          <w:tcPr>
            <w:tcW w:w="4252" w:type="dxa"/>
            <w:vMerge/>
            <w:vAlign w:val="center"/>
          </w:tcPr>
          <w:p w:rsidR="00D844A1" w:rsidRDefault="00D844A1" w:rsidP="004A761F">
            <w:pPr>
              <w:rPr>
                <w:rFonts w:ascii="Calibri" w:hAnsi="Calibri"/>
                <w:sz w:val="20"/>
                <w:szCs w:val="20"/>
              </w:rPr>
            </w:pPr>
          </w:p>
        </w:tc>
        <w:tc>
          <w:tcPr>
            <w:tcW w:w="1087" w:type="dxa"/>
            <w:vAlign w:val="center"/>
          </w:tcPr>
          <w:p w:rsidR="00D844A1" w:rsidRPr="003A1F1A" w:rsidRDefault="00D844A1" w:rsidP="004A761F">
            <w:pPr>
              <w:jc w:val="center"/>
              <w:rPr>
                <w:sz w:val="20"/>
                <w:szCs w:val="20"/>
              </w:rPr>
            </w:pPr>
            <w:r>
              <w:rPr>
                <w:sz w:val="20"/>
                <w:szCs w:val="20"/>
              </w:rPr>
              <w:t>N/A</w:t>
            </w:r>
          </w:p>
        </w:tc>
        <w:tc>
          <w:tcPr>
            <w:tcW w:w="3431" w:type="dxa"/>
          </w:tcPr>
          <w:p w:rsidR="00D844A1" w:rsidRPr="002B4599"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D.8.4</w:t>
            </w:r>
          </w:p>
        </w:tc>
        <w:tc>
          <w:tcPr>
            <w:tcW w:w="4748" w:type="dxa"/>
          </w:tcPr>
          <w:p w:rsidR="00D844A1" w:rsidRDefault="00D844A1" w:rsidP="004A761F">
            <w:pPr>
              <w:rPr>
                <w:rFonts w:ascii="Calibri" w:hAnsi="Calibri"/>
                <w:sz w:val="20"/>
                <w:szCs w:val="20"/>
              </w:rPr>
            </w:pPr>
            <w:r>
              <w:rPr>
                <w:rFonts w:ascii="Calibri" w:hAnsi="Calibri"/>
                <w:sz w:val="20"/>
                <w:szCs w:val="20"/>
              </w:rPr>
              <w:t>Shareholding structure</w:t>
            </w:r>
          </w:p>
        </w:tc>
        <w:tc>
          <w:tcPr>
            <w:tcW w:w="4252" w:type="dxa"/>
            <w:vMerge/>
            <w:vAlign w:val="center"/>
          </w:tcPr>
          <w:p w:rsidR="00D844A1" w:rsidRDefault="00D844A1" w:rsidP="004A761F">
            <w:pPr>
              <w:rPr>
                <w:rFonts w:ascii="Calibri" w:hAnsi="Calibri"/>
                <w:sz w:val="20"/>
                <w:szCs w:val="20"/>
              </w:rPr>
            </w:pPr>
          </w:p>
        </w:tc>
        <w:tc>
          <w:tcPr>
            <w:tcW w:w="1087" w:type="dxa"/>
            <w:vAlign w:val="center"/>
          </w:tcPr>
          <w:p w:rsidR="00D844A1" w:rsidRPr="003A1F1A" w:rsidRDefault="00D844A1" w:rsidP="004A761F">
            <w:pPr>
              <w:jc w:val="center"/>
              <w:rPr>
                <w:sz w:val="20"/>
                <w:szCs w:val="20"/>
              </w:rPr>
            </w:pPr>
            <w:r>
              <w:rPr>
                <w:sz w:val="20"/>
                <w:szCs w:val="20"/>
              </w:rPr>
              <w:t>Y</w:t>
            </w:r>
          </w:p>
        </w:tc>
        <w:tc>
          <w:tcPr>
            <w:tcW w:w="3431" w:type="dxa"/>
          </w:tcPr>
          <w:p w:rsidR="00D844A1" w:rsidRPr="002B4599" w:rsidRDefault="00D844A1" w:rsidP="004A761F">
            <w:pPr>
              <w:rPr>
                <w:b/>
                <w:sz w:val="20"/>
                <w:szCs w:val="20"/>
              </w:rPr>
            </w:pPr>
          </w:p>
          <w:p w:rsidR="00D844A1" w:rsidRPr="002B4599" w:rsidRDefault="00ED297A" w:rsidP="004A761F">
            <w:pPr>
              <w:rPr>
                <w:b/>
                <w:sz w:val="20"/>
                <w:szCs w:val="20"/>
              </w:rPr>
            </w:pPr>
            <w:hyperlink r:id="rId32" w:history="1">
              <w:r w:rsidR="00D844A1" w:rsidRPr="002B4599">
                <w:rPr>
                  <w:rStyle w:val="Hyperlink"/>
                  <w:b/>
                  <w:sz w:val="20"/>
                  <w:szCs w:val="20"/>
                </w:rPr>
                <w:t>Company website (Board of Director)</w:t>
              </w:r>
            </w:hyperlink>
          </w:p>
          <w:p w:rsidR="00D844A1" w:rsidRPr="002B4599"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D.8.5</w:t>
            </w:r>
          </w:p>
        </w:tc>
        <w:tc>
          <w:tcPr>
            <w:tcW w:w="4748" w:type="dxa"/>
          </w:tcPr>
          <w:p w:rsidR="00D844A1" w:rsidRDefault="00D844A1" w:rsidP="004A761F">
            <w:pPr>
              <w:rPr>
                <w:rFonts w:ascii="Calibri" w:hAnsi="Calibri"/>
                <w:sz w:val="20"/>
                <w:szCs w:val="20"/>
              </w:rPr>
            </w:pPr>
            <w:r>
              <w:rPr>
                <w:rFonts w:ascii="Calibri" w:hAnsi="Calibri"/>
                <w:sz w:val="20"/>
                <w:szCs w:val="20"/>
              </w:rPr>
              <w:t>Group corporate structure</w:t>
            </w:r>
          </w:p>
        </w:tc>
        <w:tc>
          <w:tcPr>
            <w:tcW w:w="4252" w:type="dxa"/>
            <w:vMerge/>
            <w:vAlign w:val="center"/>
          </w:tcPr>
          <w:p w:rsidR="00D844A1" w:rsidRDefault="00D844A1" w:rsidP="004A761F">
            <w:pPr>
              <w:rPr>
                <w:rFonts w:ascii="Calibri" w:hAnsi="Calibri"/>
                <w:sz w:val="20"/>
                <w:szCs w:val="20"/>
              </w:rPr>
            </w:pPr>
          </w:p>
        </w:tc>
        <w:tc>
          <w:tcPr>
            <w:tcW w:w="1087" w:type="dxa"/>
            <w:vAlign w:val="center"/>
          </w:tcPr>
          <w:p w:rsidR="00D844A1" w:rsidRPr="003A1F1A" w:rsidRDefault="00D844A1" w:rsidP="004A761F">
            <w:pPr>
              <w:jc w:val="center"/>
              <w:rPr>
                <w:sz w:val="20"/>
                <w:szCs w:val="20"/>
              </w:rPr>
            </w:pPr>
            <w:r>
              <w:rPr>
                <w:sz w:val="20"/>
                <w:szCs w:val="20"/>
              </w:rPr>
              <w:t>Y</w:t>
            </w:r>
          </w:p>
        </w:tc>
        <w:tc>
          <w:tcPr>
            <w:tcW w:w="3431" w:type="dxa"/>
          </w:tcPr>
          <w:p w:rsidR="00D844A1" w:rsidRPr="002B4599" w:rsidRDefault="00D844A1" w:rsidP="004A761F">
            <w:pPr>
              <w:rPr>
                <w:b/>
                <w:sz w:val="20"/>
                <w:szCs w:val="20"/>
              </w:rPr>
            </w:pPr>
            <w:r w:rsidRPr="002B4599">
              <w:rPr>
                <w:b/>
                <w:sz w:val="20"/>
                <w:szCs w:val="20"/>
              </w:rPr>
              <w:t xml:space="preserve">The list of Managers and Heads per Department are duly posted at the </w:t>
            </w:r>
            <w:hyperlink r:id="rId33" w:history="1">
              <w:r w:rsidRPr="002B4599">
                <w:rPr>
                  <w:rStyle w:val="Hyperlink"/>
                  <w:b/>
                  <w:sz w:val="20"/>
                  <w:szCs w:val="20"/>
                </w:rPr>
                <w:t>Company website (Senior Management)</w:t>
              </w:r>
            </w:hyperlink>
            <w:r w:rsidRPr="002B4599">
              <w:rPr>
                <w:b/>
                <w:sz w:val="20"/>
                <w:szCs w:val="20"/>
              </w:rPr>
              <w:t xml:space="preserve"> and </w:t>
            </w:r>
            <w:hyperlink r:id="rId34" w:history="1">
              <w:r w:rsidRPr="002B4599">
                <w:rPr>
                  <w:rStyle w:val="Hyperlink"/>
                  <w:b/>
                  <w:sz w:val="20"/>
                  <w:szCs w:val="20"/>
                </w:rPr>
                <w:t>Company Profile</w:t>
              </w:r>
            </w:hyperlink>
            <w:r w:rsidRPr="002B4599">
              <w:rPr>
                <w:b/>
                <w:sz w:val="20"/>
                <w:szCs w:val="20"/>
              </w:rPr>
              <w:t xml:space="preserve"> </w:t>
            </w:r>
          </w:p>
          <w:p w:rsidR="00D844A1" w:rsidRPr="002B4599"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D.8.6</w:t>
            </w:r>
          </w:p>
        </w:tc>
        <w:tc>
          <w:tcPr>
            <w:tcW w:w="4748" w:type="dxa"/>
          </w:tcPr>
          <w:p w:rsidR="00D844A1" w:rsidRDefault="00D844A1" w:rsidP="004A761F">
            <w:pPr>
              <w:rPr>
                <w:rFonts w:ascii="Calibri" w:hAnsi="Calibri"/>
                <w:sz w:val="20"/>
                <w:szCs w:val="20"/>
              </w:rPr>
            </w:pPr>
            <w:r>
              <w:rPr>
                <w:rFonts w:ascii="Calibri" w:hAnsi="Calibri"/>
                <w:sz w:val="20"/>
                <w:szCs w:val="20"/>
              </w:rPr>
              <w:t>Downloadable annual report</w:t>
            </w:r>
          </w:p>
        </w:tc>
        <w:tc>
          <w:tcPr>
            <w:tcW w:w="4252" w:type="dxa"/>
            <w:vMerge/>
            <w:vAlign w:val="center"/>
          </w:tcPr>
          <w:p w:rsidR="00D844A1" w:rsidRDefault="00D844A1" w:rsidP="004A761F">
            <w:pPr>
              <w:rPr>
                <w:rFonts w:ascii="Calibri" w:hAnsi="Calibri"/>
                <w:sz w:val="20"/>
                <w:szCs w:val="20"/>
              </w:rPr>
            </w:pPr>
          </w:p>
        </w:tc>
        <w:tc>
          <w:tcPr>
            <w:tcW w:w="1087" w:type="dxa"/>
          </w:tcPr>
          <w:p w:rsidR="00D844A1" w:rsidRDefault="00D844A1" w:rsidP="004A761F">
            <w:pPr>
              <w:jc w:val="center"/>
              <w:rPr>
                <w:sz w:val="20"/>
                <w:szCs w:val="20"/>
              </w:rPr>
            </w:pPr>
          </w:p>
          <w:p w:rsidR="00D844A1" w:rsidRPr="003A1F1A" w:rsidRDefault="00D844A1" w:rsidP="004A761F">
            <w:pPr>
              <w:jc w:val="center"/>
              <w:rPr>
                <w:sz w:val="20"/>
                <w:szCs w:val="20"/>
              </w:rPr>
            </w:pPr>
            <w:r>
              <w:rPr>
                <w:sz w:val="20"/>
                <w:szCs w:val="20"/>
              </w:rPr>
              <w:t>Y</w:t>
            </w:r>
          </w:p>
        </w:tc>
        <w:tc>
          <w:tcPr>
            <w:tcW w:w="3431" w:type="dxa"/>
          </w:tcPr>
          <w:p w:rsidR="00D844A1" w:rsidRPr="002B4599" w:rsidRDefault="00D844A1" w:rsidP="004A761F">
            <w:pPr>
              <w:rPr>
                <w:b/>
                <w:sz w:val="20"/>
                <w:szCs w:val="20"/>
              </w:rPr>
            </w:pPr>
          </w:p>
          <w:p w:rsidR="00D844A1" w:rsidRPr="002B4599" w:rsidRDefault="00D844A1" w:rsidP="004A761F">
            <w:pPr>
              <w:rPr>
                <w:b/>
                <w:sz w:val="20"/>
                <w:szCs w:val="20"/>
              </w:rPr>
            </w:pPr>
            <w:r w:rsidRPr="002B4599">
              <w:rPr>
                <w:b/>
                <w:sz w:val="20"/>
                <w:szCs w:val="20"/>
              </w:rPr>
              <w:t>Company website</w:t>
            </w:r>
          </w:p>
          <w:p w:rsidR="00D844A1" w:rsidRPr="002B4599"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D.8.7</w:t>
            </w:r>
          </w:p>
        </w:tc>
        <w:tc>
          <w:tcPr>
            <w:tcW w:w="4748" w:type="dxa"/>
          </w:tcPr>
          <w:p w:rsidR="00D844A1" w:rsidRDefault="00D844A1" w:rsidP="004A761F">
            <w:pPr>
              <w:rPr>
                <w:rFonts w:ascii="Calibri" w:hAnsi="Calibri"/>
                <w:sz w:val="20"/>
                <w:szCs w:val="20"/>
              </w:rPr>
            </w:pPr>
            <w:r>
              <w:rPr>
                <w:rFonts w:ascii="Calibri" w:hAnsi="Calibri"/>
                <w:sz w:val="20"/>
                <w:szCs w:val="20"/>
              </w:rPr>
              <w:t>Notice of AGM and/or EGM</w:t>
            </w:r>
          </w:p>
        </w:tc>
        <w:tc>
          <w:tcPr>
            <w:tcW w:w="4252" w:type="dxa"/>
            <w:vMerge/>
            <w:vAlign w:val="center"/>
          </w:tcPr>
          <w:p w:rsidR="00D844A1" w:rsidRDefault="00D844A1" w:rsidP="004A761F">
            <w:pPr>
              <w:rPr>
                <w:rFonts w:ascii="Calibri" w:hAnsi="Calibri"/>
                <w:sz w:val="20"/>
                <w:szCs w:val="20"/>
              </w:rPr>
            </w:pPr>
          </w:p>
        </w:tc>
        <w:tc>
          <w:tcPr>
            <w:tcW w:w="1087" w:type="dxa"/>
          </w:tcPr>
          <w:p w:rsidR="00D844A1" w:rsidRPr="003A1F1A" w:rsidRDefault="00D844A1" w:rsidP="004A761F">
            <w:pPr>
              <w:jc w:val="center"/>
              <w:rPr>
                <w:sz w:val="20"/>
                <w:szCs w:val="20"/>
              </w:rPr>
            </w:pPr>
            <w:r>
              <w:rPr>
                <w:sz w:val="20"/>
                <w:szCs w:val="20"/>
              </w:rPr>
              <w:t>Y</w:t>
            </w:r>
          </w:p>
        </w:tc>
        <w:tc>
          <w:tcPr>
            <w:tcW w:w="3431" w:type="dxa"/>
          </w:tcPr>
          <w:p w:rsidR="00D844A1" w:rsidRPr="002B4599" w:rsidRDefault="00D844A1" w:rsidP="004A761F">
            <w:pPr>
              <w:rPr>
                <w:b/>
                <w:sz w:val="20"/>
                <w:szCs w:val="20"/>
              </w:rPr>
            </w:pPr>
            <w:r w:rsidRPr="002B4599">
              <w:rPr>
                <w:b/>
                <w:sz w:val="20"/>
                <w:szCs w:val="20"/>
              </w:rPr>
              <w:t xml:space="preserve">The </w:t>
            </w:r>
            <w:hyperlink r:id="rId35" w:history="1">
              <w:r w:rsidRPr="002B4599">
                <w:rPr>
                  <w:rStyle w:val="Hyperlink"/>
                  <w:b/>
                  <w:sz w:val="20"/>
                  <w:szCs w:val="20"/>
                </w:rPr>
                <w:t>Notices for AGM and/or EGM</w:t>
              </w:r>
            </w:hyperlink>
            <w:r w:rsidRPr="002B4599">
              <w:rPr>
                <w:b/>
                <w:sz w:val="20"/>
                <w:szCs w:val="20"/>
              </w:rPr>
              <w:t xml:space="preserve"> </w:t>
            </w:r>
            <w:r>
              <w:rPr>
                <w:b/>
                <w:sz w:val="20"/>
                <w:szCs w:val="20"/>
              </w:rPr>
              <w:t>are</w:t>
            </w:r>
            <w:r w:rsidRPr="002B4599">
              <w:rPr>
                <w:b/>
                <w:sz w:val="20"/>
                <w:szCs w:val="20"/>
              </w:rPr>
              <w:t xml:space="preserve"> duly posted at the company website.</w:t>
            </w: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D.8.8</w:t>
            </w:r>
          </w:p>
        </w:tc>
        <w:tc>
          <w:tcPr>
            <w:tcW w:w="4748" w:type="dxa"/>
          </w:tcPr>
          <w:p w:rsidR="00D844A1" w:rsidRDefault="00D844A1" w:rsidP="004A761F">
            <w:pPr>
              <w:rPr>
                <w:rFonts w:ascii="Calibri" w:hAnsi="Calibri"/>
                <w:sz w:val="20"/>
                <w:szCs w:val="20"/>
              </w:rPr>
            </w:pPr>
            <w:r>
              <w:rPr>
                <w:rFonts w:ascii="Calibri" w:hAnsi="Calibri"/>
                <w:sz w:val="20"/>
                <w:szCs w:val="20"/>
              </w:rPr>
              <w:t>Minutes of AGM and/or EGM</w:t>
            </w:r>
          </w:p>
        </w:tc>
        <w:tc>
          <w:tcPr>
            <w:tcW w:w="4252" w:type="dxa"/>
            <w:vMerge/>
            <w:vAlign w:val="center"/>
          </w:tcPr>
          <w:p w:rsidR="00D844A1" w:rsidRDefault="00D844A1" w:rsidP="004A761F">
            <w:pPr>
              <w:rPr>
                <w:rFonts w:ascii="Calibri" w:hAnsi="Calibri"/>
                <w:sz w:val="20"/>
                <w:szCs w:val="20"/>
              </w:rPr>
            </w:pPr>
          </w:p>
        </w:tc>
        <w:tc>
          <w:tcPr>
            <w:tcW w:w="1087" w:type="dxa"/>
          </w:tcPr>
          <w:p w:rsidR="00D844A1" w:rsidRPr="003A1F1A" w:rsidRDefault="00D844A1" w:rsidP="004A761F">
            <w:pPr>
              <w:jc w:val="center"/>
              <w:rPr>
                <w:sz w:val="20"/>
                <w:szCs w:val="20"/>
              </w:rPr>
            </w:pPr>
            <w:r>
              <w:rPr>
                <w:sz w:val="20"/>
                <w:szCs w:val="20"/>
              </w:rPr>
              <w:t>Y</w:t>
            </w:r>
          </w:p>
        </w:tc>
        <w:tc>
          <w:tcPr>
            <w:tcW w:w="3431" w:type="dxa"/>
          </w:tcPr>
          <w:p w:rsidR="00D844A1" w:rsidRPr="002B4599" w:rsidRDefault="00D844A1" w:rsidP="004A761F">
            <w:pPr>
              <w:rPr>
                <w:b/>
                <w:sz w:val="20"/>
                <w:szCs w:val="20"/>
              </w:rPr>
            </w:pPr>
            <w:r w:rsidRPr="002B4599">
              <w:rPr>
                <w:b/>
                <w:sz w:val="20"/>
                <w:szCs w:val="20"/>
              </w:rPr>
              <w:t xml:space="preserve">The </w:t>
            </w:r>
            <w:hyperlink r:id="rId36" w:history="1">
              <w:r w:rsidRPr="002B4599">
                <w:rPr>
                  <w:rStyle w:val="Hyperlink"/>
                  <w:b/>
                  <w:sz w:val="20"/>
                  <w:szCs w:val="20"/>
                </w:rPr>
                <w:t>Minutes of Meeting for AGM and/or EGM</w:t>
              </w:r>
            </w:hyperlink>
            <w:r w:rsidRPr="002B4599">
              <w:rPr>
                <w:b/>
                <w:sz w:val="20"/>
                <w:szCs w:val="20"/>
              </w:rPr>
              <w:t xml:space="preserve"> </w:t>
            </w:r>
            <w:r>
              <w:rPr>
                <w:b/>
                <w:sz w:val="20"/>
                <w:szCs w:val="20"/>
              </w:rPr>
              <w:t>is</w:t>
            </w:r>
            <w:r w:rsidRPr="002B4599">
              <w:rPr>
                <w:b/>
                <w:sz w:val="20"/>
                <w:szCs w:val="20"/>
              </w:rPr>
              <w:t xml:space="preserve"> duly posted at the company website.</w:t>
            </w:r>
          </w:p>
          <w:p w:rsidR="00D844A1" w:rsidRPr="002B4599"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D.8.9</w:t>
            </w:r>
          </w:p>
        </w:tc>
        <w:tc>
          <w:tcPr>
            <w:tcW w:w="4748" w:type="dxa"/>
          </w:tcPr>
          <w:p w:rsidR="00D844A1" w:rsidRDefault="00D844A1" w:rsidP="004A761F">
            <w:pPr>
              <w:rPr>
                <w:rFonts w:ascii="Calibri" w:hAnsi="Calibri"/>
                <w:sz w:val="20"/>
                <w:szCs w:val="20"/>
              </w:rPr>
            </w:pPr>
            <w:r>
              <w:rPr>
                <w:rFonts w:ascii="Calibri" w:hAnsi="Calibri"/>
                <w:sz w:val="20"/>
                <w:szCs w:val="20"/>
              </w:rPr>
              <w:t xml:space="preserve">Company's constitution (company's by-laws, memorandum and articles of association)  </w:t>
            </w:r>
          </w:p>
        </w:tc>
        <w:tc>
          <w:tcPr>
            <w:tcW w:w="4252" w:type="dxa"/>
            <w:vMerge/>
            <w:vAlign w:val="center"/>
          </w:tcPr>
          <w:p w:rsidR="00D844A1" w:rsidRDefault="00D844A1" w:rsidP="004A761F">
            <w:pPr>
              <w:rPr>
                <w:rFonts w:ascii="Calibri" w:hAnsi="Calibri"/>
                <w:sz w:val="20"/>
                <w:szCs w:val="20"/>
              </w:rPr>
            </w:pPr>
          </w:p>
        </w:tc>
        <w:tc>
          <w:tcPr>
            <w:tcW w:w="1087" w:type="dxa"/>
          </w:tcPr>
          <w:p w:rsidR="00D844A1" w:rsidRPr="003A1F1A" w:rsidRDefault="00D844A1" w:rsidP="004A761F">
            <w:pPr>
              <w:jc w:val="center"/>
              <w:rPr>
                <w:sz w:val="20"/>
                <w:szCs w:val="20"/>
              </w:rPr>
            </w:pPr>
            <w:r>
              <w:rPr>
                <w:sz w:val="20"/>
                <w:szCs w:val="20"/>
              </w:rPr>
              <w:t>Y</w:t>
            </w:r>
          </w:p>
        </w:tc>
        <w:tc>
          <w:tcPr>
            <w:tcW w:w="3431" w:type="dxa"/>
          </w:tcPr>
          <w:p w:rsidR="00D844A1" w:rsidRPr="007750D5" w:rsidRDefault="00D844A1" w:rsidP="004A761F">
            <w:pPr>
              <w:rPr>
                <w:b/>
                <w:sz w:val="20"/>
                <w:szCs w:val="20"/>
              </w:rPr>
            </w:pPr>
            <w:r w:rsidRPr="007750D5">
              <w:rPr>
                <w:b/>
                <w:sz w:val="20"/>
                <w:szCs w:val="20"/>
              </w:rPr>
              <w:t xml:space="preserve">The </w:t>
            </w:r>
            <w:hyperlink r:id="rId37" w:history="1">
              <w:r w:rsidRPr="007750D5">
                <w:rPr>
                  <w:rStyle w:val="Hyperlink"/>
                  <w:b/>
                  <w:sz w:val="20"/>
                  <w:szCs w:val="20"/>
                </w:rPr>
                <w:t>By-laws</w:t>
              </w:r>
            </w:hyperlink>
            <w:r w:rsidRPr="007750D5">
              <w:rPr>
                <w:b/>
                <w:sz w:val="20"/>
                <w:szCs w:val="20"/>
              </w:rPr>
              <w:t xml:space="preserve"> and </w:t>
            </w:r>
            <w:hyperlink r:id="rId38" w:history="1">
              <w:r w:rsidRPr="007750D5">
                <w:rPr>
                  <w:rStyle w:val="Hyperlink"/>
                  <w:b/>
                  <w:sz w:val="20"/>
                  <w:szCs w:val="20"/>
                </w:rPr>
                <w:t>Articles of Incorporation</w:t>
              </w:r>
            </w:hyperlink>
            <w:r w:rsidRPr="007750D5">
              <w:rPr>
                <w:b/>
                <w:sz w:val="20"/>
                <w:szCs w:val="20"/>
              </w:rPr>
              <w:t xml:space="preserve"> are duly posted at the company website.</w:t>
            </w:r>
          </w:p>
          <w:p w:rsidR="00D844A1" w:rsidRPr="003A1F1A" w:rsidRDefault="00D844A1" w:rsidP="004A761F">
            <w:pPr>
              <w:rPr>
                <w:sz w:val="20"/>
                <w:szCs w:val="20"/>
              </w:rPr>
            </w:pPr>
          </w:p>
        </w:tc>
      </w:tr>
      <w:tr w:rsidR="00D844A1" w:rsidTr="004A761F">
        <w:trPr>
          <w:trHeight w:val="299"/>
        </w:trPr>
        <w:tc>
          <w:tcPr>
            <w:tcW w:w="14616" w:type="dxa"/>
            <w:gridSpan w:val="5"/>
            <w:tcBorders>
              <w:left w:val="single" w:sz="4" w:space="0" w:color="000000" w:themeColor="text1"/>
            </w:tcBorders>
          </w:tcPr>
          <w:p w:rsidR="00D844A1" w:rsidRDefault="00D844A1" w:rsidP="004A761F">
            <w:pPr>
              <w:rPr>
                <w:b/>
                <w:sz w:val="20"/>
                <w:szCs w:val="20"/>
              </w:rPr>
            </w:pPr>
          </w:p>
        </w:tc>
      </w:tr>
      <w:tr w:rsidR="00D844A1" w:rsidTr="004A761F">
        <w:trPr>
          <w:trHeight w:val="299"/>
        </w:trPr>
        <w:tc>
          <w:tcPr>
            <w:tcW w:w="14616" w:type="dxa"/>
            <w:gridSpan w:val="5"/>
            <w:tcBorders>
              <w:left w:val="single" w:sz="4" w:space="0" w:color="000000" w:themeColor="text1"/>
            </w:tcBorders>
            <w:shd w:val="clear" w:color="auto" w:fill="FABF8F" w:themeFill="accent6" w:themeFillTint="99"/>
          </w:tcPr>
          <w:p w:rsidR="00D844A1" w:rsidRPr="00985BBA" w:rsidRDefault="00D844A1" w:rsidP="004A761F">
            <w:pPr>
              <w:rPr>
                <w:b/>
                <w:sz w:val="20"/>
                <w:szCs w:val="20"/>
              </w:rPr>
            </w:pPr>
            <w:r>
              <w:rPr>
                <w:b/>
                <w:sz w:val="20"/>
                <w:szCs w:val="20"/>
              </w:rPr>
              <w:t xml:space="preserve">D.9 </w:t>
            </w:r>
            <w:r>
              <w:rPr>
                <w:rFonts w:ascii="Calibri" w:hAnsi="Calibri"/>
                <w:b/>
                <w:bCs/>
                <w:sz w:val="20"/>
                <w:szCs w:val="20"/>
              </w:rPr>
              <w:t>Investor relations</w:t>
            </w: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D.9.1</w:t>
            </w:r>
          </w:p>
        </w:tc>
        <w:tc>
          <w:tcPr>
            <w:tcW w:w="4748" w:type="dxa"/>
          </w:tcPr>
          <w:p w:rsidR="00D844A1" w:rsidRDefault="00D844A1" w:rsidP="004A761F">
            <w:pPr>
              <w:rPr>
                <w:rFonts w:ascii="Calibri" w:hAnsi="Calibri"/>
                <w:sz w:val="20"/>
                <w:szCs w:val="20"/>
              </w:rPr>
            </w:pPr>
            <w:r>
              <w:rPr>
                <w:rFonts w:ascii="Calibri" w:hAnsi="Calibri"/>
                <w:sz w:val="20"/>
                <w:szCs w:val="20"/>
              </w:rPr>
              <w:t>Does the company disclose the contact details (e.g. telephone, fax, and email) of the officer / office responsible for investor relations?</w:t>
            </w:r>
          </w:p>
        </w:tc>
        <w:tc>
          <w:tcPr>
            <w:tcW w:w="4252" w:type="dxa"/>
          </w:tcPr>
          <w:p w:rsidR="00D844A1" w:rsidRDefault="00D844A1" w:rsidP="004A761F">
            <w:pPr>
              <w:rPr>
                <w:rFonts w:ascii="Calibri" w:hAnsi="Calibri"/>
                <w:sz w:val="20"/>
                <w:szCs w:val="20"/>
              </w:rPr>
            </w:pPr>
            <w:r>
              <w:rPr>
                <w:rFonts w:ascii="Calibri" w:hAnsi="Calibri"/>
                <w:b/>
                <w:bCs/>
                <w:sz w:val="20"/>
                <w:szCs w:val="20"/>
              </w:rPr>
              <w:t>ICGN 7.1 Transparent and open communication</w:t>
            </w:r>
          </w:p>
        </w:tc>
        <w:tc>
          <w:tcPr>
            <w:tcW w:w="1087" w:type="dxa"/>
          </w:tcPr>
          <w:p w:rsidR="00D844A1" w:rsidRPr="003A1F1A" w:rsidRDefault="00D844A1" w:rsidP="004A761F">
            <w:pPr>
              <w:jc w:val="center"/>
              <w:rPr>
                <w:sz w:val="20"/>
                <w:szCs w:val="20"/>
              </w:rPr>
            </w:pPr>
            <w:r>
              <w:rPr>
                <w:sz w:val="20"/>
                <w:szCs w:val="20"/>
              </w:rPr>
              <w:t>N/A</w:t>
            </w:r>
          </w:p>
        </w:tc>
        <w:tc>
          <w:tcPr>
            <w:tcW w:w="3431" w:type="dxa"/>
          </w:tcPr>
          <w:p w:rsidR="00D844A1" w:rsidRPr="003A1F1A" w:rsidRDefault="00D844A1" w:rsidP="004A761F">
            <w:pPr>
              <w:rPr>
                <w:sz w:val="20"/>
                <w:szCs w:val="20"/>
              </w:rPr>
            </w:pPr>
          </w:p>
        </w:tc>
      </w:tr>
    </w:tbl>
    <w:p w:rsidR="00D844A1" w:rsidRDefault="00D844A1" w:rsidP="00D844A1">
      <w:pPr>
        <w:rPr>
          <w:b/>
          <w:sz w:val="20"/>
          <w:szCs w:val="20"/>
        </w:rPr>
      </w:pPr>
    </w:p>
    <w:p w:rsidR="00D844A1" w:rsidRDefault="00D844A1" w:rsidP="00D844A1">
      <w:pPr>
        <w:rPr>
          <w:b/>
          <w:sz w:val="20"/>
          <w:szCs w:val="20"/>
        </w:rPr>
      </w:pPr>
    </w:p>
    <w:p w:rsidR="00D844A1" w:rsidRDefault="00D844A1" w:rsidP="00D844A1">
      <w:pPr>
        <w:rPr>
          <w:b/>
          <w:sz w:val="20"/>
          <w:szCs w:val="20"/>
        </w:rPr>
      </w:pPr>
    </w:p>
    <w:p w:rsidR="00D844A1" w:rsidRDefault="00D844A1" w:rsidP="00D844A1">
      <w:pPr>
        <w:rPr>
          <w:b/>
          <w:sz w:val="20"/>
          <w:szCs w:val="20"/>
        </w:rPr>
      </w:pPr>
    </w:p>
    <w:p w:rsidR="00D844A1" w:rsidRDefault="00D844A1" w:rsidP="00D844A1">
      <w:pPr>
        <w:rPr>
          <w:b/>
          <w:sz w:val="20"/>
          <w:szCs w:val="20"/>
        </w:rPr>
      </w:pPr>
    </w:p>
    <w:p w:rsidR="00D844A1" w:rsidRDefault="00D844A1" w:rsidP="00D844A1">
      <w:pPr>
        <w:rPr>
          <w:b/>
          <w:sz w:val="20"/>
          <w:szCs w:val="20"/>
        </w:rPr>
      </w:pPr>
    </w:p>
    <w:p w:rsidR="00D844A1" w:rsidRPr="007202BF" w:rsidRDefault="00D844A1" w:rsidP="00D844A1">
      <w:pPr>
        <w:rPr>
          <w:b/>
          <w:sz w:val="20"/>
          <w:szCs w:val="20"/>
        </w:rPr>
      </w:pPr>
    </w:p>
    <w:sectPr w:rsidR="00D844A1" w:rsidRPr="007202BF" w:rsidSect="004E1600">
      <w:headerReference w:type="default" r:id="rId3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26F" w:rsidRDefault="0046326F" w:rsidP="004E1600">
      <w:pPr>
        <w:spacing w:after="0" w:line="240" w:lineRule="auto"/>
      </w:pPr>
      <w:r>
        <w:separator/>
      </w:r>
    </w:p>
  </w:endnote>
  <w:endnote w:type="continuationSeparator" w:id="1">
    <w:p w:rsidR="0046326F" w:rsidRDefault="0046326F" w:rsidP="004E1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26F" w:rsidRDefault="0046326F" w:rsidP="004E1600">
      <w:pPr>
        <w:spacing w:after="0" w:line="240" w:lineRule="auto"/>
      </w:pPr>
      <w:r>
        <w:separator/>
      </w:r>
    </w:p>
  </w:footnote>
  <w:footnote w:type="continuationSeparator" w:id="1">
    <w:p w:rsidR="0046326F" w:rsidRDefault="0046326F" w:rsidP="004E1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E" w:rsidRDefault="00ED297A">
    <w:pPr>
      <w:pStyle w:val="Header"/>
    </w:pPr>
    <w:r>
      <w:rPr>
        <w:noProof/>
      </w:rPr>
      <w:pict>
        <v:rect id="_x0000_s2051" style="position:absolute;margin-left:165pt;margin-top:-9pt;width:562.2pt;height:18pt;z-index:251659264" fillcolor="black [3200]" stroked="f" strokecolor="#f2f2f2 [3041]" strokeweight="3pt">
          <v:fill color2="fill lighten(51)" focusposition="1" focussize="" method="linear sigma" type="gradient"/>
          <v:shadow on="t" type="perspective" color="#7f7f7f [1601]" opacity=".5" offset="1pt" offset2="-1pt"/>
          <v:textbox>
            <w:txbxContent>
              <w:p w:rsidR="007F23EE" w:rsidRPr="002043DA" w:rsidRDefault="007F23EE" w:rsidP="002043DA">
                <w:pPr>
                  <w:jc w:val="center"/>
                  <w:rPr>
                    <w:b/>
                    <w:sz w:val="20"/>
                  </w:rPr>
                </w:pPr>
                <w:r>
                  <w:rPr>
                    <w:b/>
                    <w:sz w:val="20"/>
                  </w:rPr>
                  <w:t>ASEAN Corporate Governance Scorecard 2014 – Self Assessment</w:t>
                </w:r>
              </w:p>
            </w:txbxContent>
          </v:textbox>
        </v:rect>
      </w:pict>
    </w:r>
    <w:r>
      <w:rPr>
        <w:noProof/>
      </w:rPr>
      <w:pict>
        <v:rect id="_x0000_s2050" style="position:absolute;margin-left:-5.5pt;margin-top:-9pt;width:170.5pt;height:18pt;z-index:251658240" fillcolor="#ffc000">
          <v:fill color2="fill lighten(51)" focusposition="1" focussize="" method="linear sigma" focus="100%" type="gradient"/>
          <v:textbox>
            <w:txbxContent>
              <w:p w:rsidR="007F23EE" w:rsidRPr="002043DA" w:rsidRDefault="007F23EE" w:rsidP="002043DA">
                <w:pPr>
                  <w:jc w:val="center"/>
                  <w:rPr>
                    <w:b/>
                    <w:sz w:val="20"/>
                  </w:rPr>
                </w:pPr>
                <w:r w:rsidRPr="002043DA">
                  <w:rPr>
                    <w:b/>
                    <w:sz w:val="20"/>
                  </w:rPr>
                  <w:t>MAA General Assurance Phils., Inc.</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3132"/>
    <w:multiLevelType w:val="hybridMultilevel"/>
    <w:tmpl w:val="E7067C0E"/>
    <w:lvl w:ilvl="0" w:tplc="73B2ED6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3794">
      <o:colormenu v:ext="edit" fillcolor="#ffc000" strokecolor="none"/>
    </o:shapedefaults>
    <o:shapelayout v:ext="edit">
      <o:idmap v:ext="edit" data="2"/>
    </o:shapelayout>
  </w:hdrShapeDefaults>
  <w:footnotePr>
    <w:footnote w:id="0"/>
    <w:footnote w:id="1"/>
  </w:footnotePr>
  <w:endnotePr>
    <w:endnote w:id="0"/>
    <w:endnote w:id="1"/>
  </w:endnotePr>
  <w:compat/>
  <w:rsids>
    <w:rsidRoot w:val="004E1600"/>
    <w:rsid w:val="00026208"/>
    <w:rsid w:val="00043F35"/>
    <w:rsid w:val="0006304A"/>
    <w:rsid w:val="00072288"/>
    <w:rsid w:val="00072355"/>
    <w:rsid w:val="000740FA"/>
    <w:rsid w:val="000851D2"/>
    <w:rsid w:val="0008564D"/>
    <w:rsid w:val="0008737C"/>
    <w:rsid w:val="00097B7D"/>
    <w:rsid w:val="000A40D7"/>
    <w:rsid w:val="000C1D76"/>
    <w:rsid w:val="000C2B8E"/>
    <w:rsid w:val="000C4A23"/>
    <w:rsid w:val="000D48E8"/>
    <w:rsid w:val="000E37B2"/>
    <w:rsid w:val="000F27E8"/>
    <w:rsid w:val="0010693E"/>
    <w:rsid w:val="00110BE0"/>
    <w:rsid w:val="001120C9"/>
    <w:rsid w:val="00114944"/>
    <w:rsid w:val="001325DF"/>
    <w:rsid w:val="00150124"/>
    <w:rsid w:val="001A4EE4"/>
    <w:rsid w:val="001C02F7"/>
    <w:rsid w:val="001C2347"/>
    <w:rsid w:val="001E409A"/>
    <w:rsid w:val="001F0DCE"/>
    <w:rsid w:val="002043DA"/>
    <w:rsid w:val="00222B26"/>
    <w:rsid w:val="00240DB5"/>
    <w:rsid w:val="0024531B"/>
    <w:rsid w:val="00254DC3"/>
    <w:rsid w:val="0026731C"/>
    <w:rsid w:val="002753B8"/>
    <w:rsid w:val="00275F2C"/>
    <w:rsid w:val="002B4599"/>
    <w:rsid w:val="002B498E"/>
    <w:rsid w:val="002C0248"/>
    <w:rsid w:val="002C179F"/>
    <w:rsid w:val="002D2515"/>
    <w:rsid w:val="002D48ED"/>
    <w:rsid w:val="002E5B3D"/>
    <w:rsid w:val="003039CE"/>
    <w:rsid w:val="00307AAD"/>
    <w:rsid w:val="00315A14"/>
    <w:rsid w:val="00336DBF"/>
    <w:rsid w:val="003428A6"/>
    <w:rsid w:val="00351426"/>
    <w:rsid w:val="00363AB6"/>
    <w:rsid w:val="00364A21"/>
    <w:rsid w:val="003835C4"/>
    <w:rsid w:val="003915A0"/>
    <w:rsid w:val="003918A3"/>
    <w:rsid w:val="00396C09"/>
    <w:rsid w:val="003A0B9C"/>
    <w:rsid w:val="003A1F1A"/>
    <w:rsid w:val="003B2847"/>
    <w:rsid w:val="00403BF7"/>
    <w:rsid w:val="00404937"/>
    <w:rsid w:val="0041434E"/>
    <w:rsid w:val="00423447"/>
    <w:rsid w:val="004319C4"/>
    <w:rsid w:val="00450E67"/>
    <w:rsid w:val="00461779"/>
    <w:rsid w:val="0046326F"/>
    <w:rsid w:val="00475B27"/>
    <w:rsid w:val="00485F0F"/>
    <w:rsid w:val="00490447"/>
    <w:rsid w:val="00495EAD"/>
    <w:rsid w:val="004A42FD"/>
    <w:rsid w:val="004A5B7B"/>
    <w:rsid w:val="004B67BE"/>
    <w:rsid w:val="004D1D4C"/>
    <w:rsid w:val="004E1600"/>
    <w:rsid w:val="004E2A30"/>
    <w:rsid w:val="004E32E8"/>
    <w:rsid w:val="004F5225"/>
    <w:rsid w:val="0051413B"/>
    <w:rsid w:val="00515197"/>
    <w:rsid w:val="00517B78"/>
    <w:rsid w:val="0054598D"/>
    <w:rsid w:val="00546B07"/>
    <w:rsid w:val="00547016"/>
    <w:rsid w:val="00550C00"/>
    <w:rsid w:val="005521D3"/>
    <w:rsid w:val="005544C6"/>
    <w:rsid w:val="005550BB"/>
    <w:rsid w:val="0057492F"/>
    <w:rsid w:val="00585C4C"/>
    <w:rsid w:val="0059205C"/>
    <w:rsid w:val="005A0150"/>
    <w:rsid w:val="005C16D9"/>
    <w:rsid w:val="005C50A4"/>
    <w:rsid w:val="005D5FA6"/>
    <w:rsid w:val="005E49CA"/>
    <w:rsid w:val="005F47B0"/>
    <w:rsid w:val="005F492D"/>
    <w:rsid w:val="005F60EB"/>
    <w:rsid w:val="00600F0C"/>
    <w:rsid w:val="00622089"/>
    <w:rsid w:val="00631ADC"/>
    <w:rsid w:val="00632FC8"/>
    <w:rsid w:val="00654E40"/>
    <w:rsid w:val="00664599"/>
    <w:rsid w:val="00687D98"/>
    <w:rsid w:val="006A2EEC"/>
    <w:rsid w:val="006A6EFC"/>
    <w:rsid w:val="006E6CD3"/>
    <w:rsid w:val="006F3FB6"/>
    <w:rsid w:val="00704833"/>
    <w:rsid w:val="00710C33"/>
    <w:rsid w:val="00714471"/>
    <w:rsid w:val="007202BF"/>
    <w:rsid w:val="00722307"/>
    <w:rsid w:val="00744136"/>
    <w:rsid w:val="00746476"/>
    <w:rsid w:val="00747F33"/>
    <w:rsid w:val="00752990"/>
    <w:rsid w:val="007533D3"/>
    <w:rsid w:val="007750D5"/>
    <w:rsid w:val="00785844"/>
    <w:rsid w:val="00787DF9"/>
    <w:rsid w:val="007A1338"/>
    <w:rsid w:val="007A5568"/>
    <w:rsid w:val="007A73E3"/>
    <w:rsid w:val="007C26C8"/>
    <w:rsid w:val="007E2ED2"/>
    <w:rsid w:val="007F23EE"/>
    <w:rsid w:val="007F2547"/>
    <w:rsid w:val="007F2E95"/>
    <w:rsid w:val="007F3601"/>
    <w:rsid w:val="00802F3C"/>
    <w:rsid w:val="0082250C"/>
    <w:rsid w:val="00840CCF"/>
    <w:rsid w:val="00847E8A"/>
    <w:rsid w:val="00857CE1"/>
    <w:rsid w:val="00864E0E"/>
    <w:rsid w:val="0086649F"/>
    <w:rsid w:val="00866640"/>
    <w:rsid w:val="00875DC5"/>
    <w:rsid w:val="00890310"/>
    <w:rsid w:val="00892C5C"/>
    <w:rsid w:val="00894829"/>
    <w:rsid w:val="008D193A"/>
    <w:rsid w:val="008D4E29"/>
    <w:rsid w:val="008E26CB"/>
    <w:rsid w:val="008F52DA"/>
    <w:rsid w:val="009029B3"/>
    <w:rsid w:val="00904BA9"/>
    <w:rsid w:val="009139DF"/>
    <w:rsid w:val="009146AE"/>
    <w:rsid w:val="00921275"/>
    <w:rsid w:val="0092182C"/>
    <w:rsid w:val="009247CE"/>
    <w:rsid w:val="009254FE"/>
    <w:rsid w:val="00936F30"/>
    <w:rsid w:val="00953AC9"/>
    <w:rsid w:val="00985BBA"/>
    <w:rsid w:val="00993892"/>
    <w:rsid w:val="009A64AF"/>
    <w:rsid w:val="009B4100"/>
    <w:rsid w:val="009D05C6"/>
    <w:rsid w:val="009D3185"/>
    <w:rsid w:val="009E737B"/>
    <w:rsid w:val="009F5464"/>
    <w:rsid w:val="00A014C9"/>
    <w:rsid w:val="00A204D6"/>
    <w:rsid w:val="00A225D4"/>
    <w:rsid w:val="00A4685A"/>
    <w:rsid w:val="00A52517"/>
    <w:rsid w:val="00A5706F"/>
    <w:rsid w:val="00A80C32"/>
    <w:rsid w:val="00A80DDB"/>
    <w:rsid w:val="00A844FD"/>
    <w:rsid w:val="00A868F5"/>
    <w:rsid w:val="00AA30BD"/>
    <w:rsid w:val="00AB255C"/>
    <w:rsid w:val="00AC18B0"/>
    <w:rsid w:val="00AC2358"/>
    <w:rsid w:val="00AD449E"/>
    <w:rsid w:val="00AE4CD5"/>
    <w:rsid w:val="00AE7D34"/>
    <w:rsid w:val="00AF63A1"/>
    <w:rsid w:val="00B065F6"/>
    <w:rsid w:val="00B06BAF"/>
    <w:rsid w:val="00B154E4"/>
    <w:rsid w:val="00B267AE"/>
    <w:rsid w:val="00B27893"/>
    <w:rsid w:val="00B4112E"/>
    <w:rsid w:val="00B46019"/>
    <w:rsid w:val="00B51187"/>
    <w:rsid w:val="00B52F3A"/>
    <w:rsid w:val="00B82BCB"/>
    <w:rsid w:val="00BA0722"/>
    <w:rsid w:val="00BB09AE"/>
    <w:rsid w:val="00BD381E"/>
    <w:rsid w:val="00BD756B"/>
    <w:rsid w:val="00C34B08"/>
    <w:rsid w:val="00C36AC9"/>
    <w:rsid w:val="00C37302"/>
    <w:rsid w:val="00C37E15"/>
    <w:rsid w:val="00C43AFD"/>
    <w:rsid w:val="00C60D41"/>
    <w:rsid w:val="00C8374A"/>
    <w:rsid w:val="00C84124"/>
    <w:rsid w:val="00CA0684"/>
    <w:rsid w:val="00CE3C28"/>
    <w:rsid w:val="00CE6D2D"/>
    <w:rsid w:val="00D144EA"/>
    <w:rsid w:val="00D16E65"/>
    <w:rsid w:val="00D36982"/>
    <w:rsid w:val="00D3788D"/>
    <w:rsid w:val="00D6298C"/>
    <w:rsid w:val="00D81D75"/>
    <w:rsid w:val="00D82F72"/>
    <w:rsid w:val="00D83744"/>
    <w:rsid w:val="00D844A1"/>
    <w:rsid w:val="00D859D7"/>
    <w:rsid w:val="00D95245"/>
    <w:rsid w:val="00DA01FB"/>
    <w:rsid w:val="00DB3DD9"/>
    <w:rsid w:val="00DB4A36"/>
    <w:rsid w:val="00DD3951"/>
    <w:rsid w:val="00DD6E0B"/>
    <w:rsid w:val="00DF3570"/>
    <w:rsid w:val="00DF4453"/>
    <w:rsid w:val="00DF452F"/>
    <w:rsid w:val="00E1281F"/>
    <w:rsid w:val="00E25ED1"/>
    <w:rsid w:val="00E34F90"/>
    <w:rsid w:val="00E35B1B"/>
    <w:rsid w:val="00E40F95"/>
    <w:rsid w:val="00E5021A"/>
    <w:rsid w:val="00E74CE6"/>
    <w:rsid w:val="00E80CFF"/>
    <w:rsid w:val="00E80F2A"/>
    <w:rsid w:val="00E83CD1"/>
    <w:rsid w:val="00E8695C"/>
    <w:rsid w:val="00E92EBF"/>
    <w:rsid w:val="00E93378"/>
    <w:rsid w:val="00EA79C8"/>
    <w:rsid w:val="00EB0466"/>
    <w:rsid w:val="00EB31CF"/>
    <w:rsid w:val="00ED297A"/>
    <w:rsid w:val="00EE17F1"/>
    <w:rsid w:val="00EE2B47"/>
    <w:rsid w:val="00EE47A5"/>
    <w:rsid w:val="00F044AE"/>
    <w:rsid w:val="00F175AD"/>
    <w:rsid w:val="00F2040F"/>
    <w:rsid w:val="00F243B3"/>
    <w:rsid w:val="00F24740"/>
    <w:rsid w:val="00F25F81"/>
    <w:rsid w:val="00F2744B"/>
    <w:rsid w:val="00F3176C"/>
    <w:rsid w:val="00F4013F"/>
    <w:rsid w:val="00F41072"/>
    <w:rsid w:val="00F43C98"/>
    <w:rsid w:val="00F45B5E"/>
    <w:rsid w:val="00F46808"/>
    <w:rsid w:val="00F77C15"/>
    <w:rsid w:val="00F862C9"/>
    <w:rsid w:val="00FE55E0"/>
    <w:rsid w:val="00FF4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E16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600"/>
  </w:style>
  <w:style w:type="paragraph" w:styleId="Footer">
    <w:name w:val="footer"/>
    <w:basedOn w:val="Normal"/>
    <w:link w:val="FooterChar"/>
    <w:uiPriority w:val="99"/>
    <w:semiHidden/>
    <w:unhideWhenUsed/>
    <w:rsid w:val="004E16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600"/>
  </w:style>
  <w:style w:type="paragraph" w:styleId="BalloonText">
    <w:name w:val="Balloon Text"/>
    <w:basedOn w:val="Normal"/>
    <w:link w:val="BalloonTextChar"/>
    <w:uiPriority w:val="99"/>
    <w:semiHidden/>
    <w:unhideWhenUsed/>
    <w:rsid w:val="00555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0BB"/>
    <w:rPr>
      <w:rFonts w:ascii="Tahoma" w:hAnsi="Tahoma" w:cs="Tahoma"/>
      <w:sz w:val="16"/>
      <w:szCs w:val="16"/>
    </w:rPr>
  </w:style>
  <w:style w:type="character" w:styleId="Hyperlink">
    <w:name w:val="Hyperlink"/>
    <w:basedOn w:val="DefaultParagraphFont"/>
    <w:uiPriority w:val="99"/>
    <w:unhideWhenUsed/>
    <w:rsid w:val="00CE3C28"/>
    <w:rPr>
      <w:color w:val="0000FF" w:themeColor="hyperlink"/>
      <w:u w:val="single"/>
    </w:rPr>
  </w:style>
  <w:style w:type="character" w:styleId="FollowedHyperlink">
    <w:name w:val="FollowedHyperlink"/>
    <w:basedOn w:val="DefaultParagraphFont"/>
    <w:uiPriority w:val="99"/>
    <w:semiHidden/>
    <w:unhideWhenUsed/>
    <w:rsid w:val="00CE3C28"/>
    <w:rPr>
      <w:color w:val="800080" w:themeColor="followedHyperlink"/>
      <w:u w:val="single"/>
    </w:rPr>
  </w:style>
  <w:style w:type="character" w:styleId="CommentReference">
    <w:name w:val="annotation reference"/>
    <w:basedOn w:val="DefaultParagraphFont"/>
    <w:uiPriority w:val="99"/>
    <w:semiHidden/>
    <w:unhideWhenUsed/>
    <w:rsid w:val="008D4E29"/>
    <w:rPr>
      <w:sz w:val="16"/>
      <w:szCs w:val="16"/>
    </w:rPr>
  </w:style>
  <w:style w:type="paragraph" w:styleId="CommentText">
    <w:name w:val="annotation text"/>
    <w:basedOn w:val="Normal"/>
    <w:link w:val="CommentTextChar"/>
    <w:uiPriority w:val="99"/>
    <w:semiHidden/>
    <w:unhideWhenUsed/>
    <w:rsid w:val="008D4E29"/>
    <w:pPr>
      <w:spacing w:line="240" w:lineRule="auto"/>
    </w:pPr>
    <w:rPr>
      <w:sz w:val="20"/>
      <w:szCs w:val="20"/>
    </w:rPr>
  </w:style>
  <w:style w:type="character" w:customStyle="1" w:styleId="CommentTextChar">
    <w:name w:val="Comment Text Char"/>
    <w:basedOn w:val="DefaultParagraphFont"/>
    <w:link w:val="CommentText"/>
    <w:uiPriority w:val="99"/>
    <w:semiHidden/>
    <w:rsid w:val="008D4E29"/>
    <w:rPr>
      <w:sz w:val="20"/>
      <w:szCs w:val="20"/>
    </w:rPr>
  </w:style>
  <w:style w:type="paragraph" w:styleId="CommentSubject">
    <w:name w:val="annotation subject"/>
    <w:basedOn w:val="CommentText"/>
    <w:next w:val="CommentText"/>
    <w:link w:val="CommentSubjectChar"/>
    <w:uiPriority w:val="99"/>
    <w:semiHidden/>
    <w:unhideWhenUsed/>
    <w:rsid w:val="008D4E29"/>
    <w:rPr>
      <w:b/>
      <w:bCs/>
    </w:rPr>
  </w:style>
  <w:style w:type="character" w:customStyle="1" w:styleId="CommentSubjectChar">
    <w:name w:val="Comment Subject Char"/>
    <w:basedOn w:val="CommentTextChar"/>
    <w:link w:val="CommentSubject"/>
    <w:uiPriority w:val="99"/>
    <w:semiHidden/>
    <w:rsid w:val="008D4E29"/>
    <w:rPr>
      <w:b/>
      <w:bCs/>
    </w:rPr>
  </w:style>
  <w:style w:type="paragraph" w:styleId="ListParagraph">
    <w:name w:val="List Paragraph"/>
    <w:basedOn w:val="Normal"/>
    <w:uiPriority w:val="34"/>
    <w:qFormat/>
    <w:rsid w:val="00240DB5"/>
    <w:pPr>
      <w:ind w:left="720"/>
      <w:contextualSpacing/>
    </w:pPr>
  </w:style>
</w:styles>
</file>

<file path=word/webSettings.xml><?xml version="1.0" encoding="utf-8"?>
<w:webSettings xmlns:r="http://schemas.openxmlformats.org/officeDocument/2006/relationships" xmlns:w="http://schemas.openxmlformats.org/wordprocessingml/2006/main">
  <w:divs>
    <w:div w:id="134565493">
      <w:bodyDiv w:val="1"/>
      <w:marLeft w:val="0"/>
      <w:marRight w:val="0"/>
      <w:marTop w:val="0"/>
      <w:marBottom w:val="0"/>
      <w:divBdr>
        <w:top w:val="none" w:sz="0" w:space="0" w:color="auto"/>
        <w:left w:val="none" w:sz="0" w:space="0" w:color="auto"/>
        <w:bottom w:val="none" w:sz="0" w:space="0" w:color="auto"/>
        <w:right w:val="none" w:sz="0" w:space="0" w:color="auto"/>
      </w:divBdr>
    </w:div>
    <w:div w:id="186605729">
      <w:bodyDiv w:val="1"/>
      <w:marLeft w:val="0"/>
      <w:marRight w:val="0"/>
      <w:marTop w:val="0"/>
      <w:marBottom w:val="0"/>
      <w:divBdr>
        <w:top w:val="none" w:sz="0" w:space="0" w:color="auto"/>
        <w:left w:val="none" w:sz="0" w:space="0" w:color="auto"/>
        <w:bottom w:val="none" w:sz="0" w:space="0" w:color="auto"/>
        <w:right w:val="none" w:sz="0" w:space="0" w:color="auto"/>
      </w:divBdr>
    </w:div>
    <w:div w:id="197091974">
      <w:bodyDiv w:val="1"/>
      <w:marLeft w:val="0"/>
      <w:marRight w:val="0"/>
      <w:marTop w:val="0"/>
      <w:marBottom w:val="0"/>
      <w:divBdr>
        <w:top w:val="none" w:sz="0" w:space="0" w:color="auto"/>
        <w:left w:val="none" w:sz="0" w:space="0" w:color="auto"/>
        <w:bottom w:val="none" w:sz="0" w:space="0" w:color="auto"/>
        <w:right w:val="none" w:sz="0" w:space="0" w:color="auto"/>
      </w:divBdr>
    </w:div>
    <w:div w:id="198905117">
      <w:bodyDiv w:val="1"/>
      <w:marLeft w:val="0"/>
      <w:marRight w:val="0"/>
      <w:marTop w:val="0"/>
      <w:marBottom w:val="0"/>
      <w:divBdr>
        <w:top w:val="none" w:sz="0" w:space="0" w:color="auto"/>
        <w:left w:val="none" w:sz="0" w:space="0" w:color="auto"/>
        <w:bottom w:val="none" w:sz="0" w:space="0" w:color="auto"/>
        <w:right w:val="none" w:sz="0" w:space="0" w:color="auto"/>
      </w:divBdr>
    </w:div>
    <w:div w:id="371685981">
      <w:bodyDiv w:val="1"/>
      <w:marLeft w:val="0"/>
      <w:marRight w:val="0"/>
      <w:marTop w:val="0"/>
      <w:marBottom w:val="0"/>
      <w:divBdr>
        <w:top w:val="none" w:sz="0" w:space="0" w:color="auto"/>
        <w:left w:val="none" w:sz="0" w:space="0" w:color="auto"/>
        <w:bottom w:val="none" w:sz="0" w:space="0" w:color="auto"/>
        <w:right w:val="none" w:sz="0" w:space="0" w:color="auto"/>
      </w:divBdr>
    </w:div>
    <w:div w:id="399257465">
      <w:bodyDiv w:val="1"/>
      <w:marLeft w:val="0"/>
      <w:marRight w:val="0"/>
      <w:marTop w:val="0"/>
      <w:marBottom w:val="0"/>
      <w:divBdr>
        <w:top w:val="none" w:sz="0" w:space="0" w:color="auto"/>
        <w:left w:val="none" w:sz="0" w:space="0" w:color="auto"/>
        <w:bottom w:val="none" w:sz="0" w:space="0" w:color="auto"/>
        <w:right w:val="none" w:sz="0" w:space="0" w:color="auto"/>
      </w:divBdr>
    </w:div>
    <w:div w:id="425855890">
      <w:bodyDiv w:val="1"/>
      <w:marLeft w:val="0"/>
      <w:marRight w:val="0"/>
      <w:marTop w:val="0"/>
      <w:marBottom w:val="0"/>
      <w:divBdr>
        <w:top w:val="none" w:sz="0" w:space="0" w:color="auto"/>
        <w:left w:val="none" w:sz="0" w:space="0" w:color="auto"/>
        <w:bottom w:val="none" w:sz="0" w:space="0" w:color="auto"/>
        <w:right w:val="none" w:sz="0" w:space="0" w:color="auto"/>
      </w:divBdr>
    </w:div>
    <w:div w:id="527254581">
      <w:bodyDiv w:val="1"/>
      <w:marLeft w:val="0"/>
      <w:marRight w:val="0"/>
      <w:marTop w:val="0"/>
      <w:marBottom w:val="0"/>
      <w:divBdr>
        <w:top w:val="none" w:sz="0" w:space="0" w:color="auto"/>
        <w:left w:val="none" w:sz="0" w:space="0" w:color="auto"/>
        <w:bottom w:val="none" w:sz="0" w:space="0" w:color="auto"/>
        <w:right w:val="none" w:sz="0" w:space="0" w:color="auto"/>
      </w:divBdr>
    </w:div>
    <w:div w:id="543323258">
      <w:bodyDiv w:val="1"/>
      <w:marLeft w:val="0"/>
      <w:marRight w:val="0"/>
      <w:marTop w:val="0"/>
      <w:marBottom w:val="0"/>
      <w:divBdr>
        <w:top w:val="none" w:sz="0" w:space="0" w:color="auto"/>
        <w:left w:val="none" w:sz="0" w:space="0" w:color="auto"/>
        <w:bottom w:val="none" w:sz="0" w:space="0" w:color="auto"/>
        <w:right w:val="none" w:sz="0" w:space="0" w:color="auto"/>
      </w:divBdr>
    </w:div>
    <w:div w:id="698777264">
      <w:bodyDiv w:val="1"/>
      <w:marLeft w:val="0"/>
      <w:marRight w:val="0"/>
      <w:marTop w:val="0"/>
      <w:marBottom w:val="0"/>
      <w:divBdr>
        <w:top w:val="none" w:sz="0" w:space="0" w:color="auto"/>
        <w:left w:val="none" w:sz="0" w:space="0" w:color="auto"/>
        <w:bottom w:val="none" w:sz="0" w:space="0" w:color="auto"/>
        <w:right w:val="none" w:sz="0" w:space="0" w:color="auto"/>
      </w:divBdr>
    </w:div>
    <w:div w:id="710031930">
      <w:bodyDiv w:val="1"/>
      <w:marLeft w:val="0"/>
      <w:marRight w:val="0"/>
      <w:marTop w:val="0"/>
      <w:marBottom w:val="0"/>
      <w:divBdr>
        <w:top w:val="none" w:sz="0" w:space="0" w:color="auto"/>
        <w:left w:val="none" w:sz="0" w:space="0" w:color="auto"/>
        <w:bottom w:val="none" w:sz="0" w:space="0" w:color="auto"/>
        <w:right w:val="none" w:sz="0" w:space="0" w:color="auto"/>
      </w:divBdr>
    </w:div>
    <w:div w:id="710493348">
      <w:bodyDiv w:val="1"/>
      <w:marLeft w:val="0"/>
      <w:marRight w:val="0"/>
      <w:marTop w:val="0"/>
      <w:marBottom w:val="0"/>
      <w:divBdr>
        <w:top w:val="none" w:sz="0" w:space="0" w:color="auto"/>
        <w:left w:val="none" w:sz="0" w:space="0" w:color="auto"/>
        <w:bottom w:val="none" w:sz="0" w:space="0" w:color="auto"/>
        <w:right w:val="none" w:sz="0" w:space="0" w:color="auto"/>
      </w:divBdr>
    </w:div>
    <w:div w:id="739712384">
      <w:bodyDiv w:val="1"/>
      <w:marLeft w:val="0"/>
      <w:marRight w:val="0"/>
      <w:marTop w:val="0"/>
      <w:marBottom w:val="0"/>
      <w:divBdr>
        <w:top w:val="none" w:sz="0" w:space="0" w:color="auto"/>
        <w:left w:val="none" w:sz="0" w:space="0" w:color="auto"/>
        <w:bottom w:val="none" w:sz="0" w:space="0" w:color="auto"/>
        <w:right w:val="none" w:sz="0" w:space="0" w:color="auto"/>
      </w:divBdr>
    </w:div>
    <w:div w:id="780613320">
      <w:bodyDiv w:val="1"/>
      <w:marLeft w:val="0"/>
      <w:marRight w:val="0"/>
      <w:marTop w:val="0"/>
      <w:marBottom w:val="0"/>
      <w:divBdr>
        <w:top w:val="none" w:sz="0" w:space="0" w:color="auto"/>
        <w:left w:val="none" w:sz="0" w:space="0" w:color="auto"/>
        <w:bottom w:val="none" w:sz="0" w:space="0" w:color="auto"/>
        <w:right w:val="none" w:sz="0" w:space="0" w:color="auto"/>
      </w:divBdr>
    </w:div>
    <w:div w:id="799150318">
      <w:bodyDiv w:val="1"/>
      <w:marLeft w:val="0"/>
      <w:marRight w:val="0"/>
      <w:marTop w:val="0"/>
      <w:marBottom w:val="0"/>
      <w:divBdr>
        <w:top w:val="none" w:sz="0" w:space="0" w:color="auto"/>
        <w:left w:val="none" w:sz="0" w:space="0" w:color="auto"/>
        <w:bottom w:val="none" w:sz="0" w:space="0" w:color="auto"/>
        <w:right w:val="none" w:sz="0" w:space="0" w:color="auto"/>
      </w:divBdr>
    </w:div>
    <w:div w:id="851458959">
      <w:bodyDiv w:val="1"/>
      <w:marLeft w:val="0"/>
      <w:marRight w:val="0"/>
      <w:marTop w:val="0"/>
      <w:marBottom w:val="0"/>
      <w:divBdr>
        <w:top w:val="none" w:sz="0" w:space="0" w:color="auto"/>
        <w:left w:val="none" w:sz="0" w:space="0" w:color="auto"/>
        <w:bottom w:val="none" w:sz="0" w:space="0" w:color="auto"/>
        <w:right w:val="none" w:sz="0" w:space="0" w:color="auto"/>
      </w:divBdr>
    </w:div>
    <w:div w:id="854803159">
      <w:bodyDiv w:val="1"/>
      <w:marLeft w:val="0"/>
      <w:marRight w:val="0"/>
      <w:marTop w:val="0"/>
      <w:marBottom w:val="0"/>
      <w:divBdr>
        <w:top w:val="none" w:sz="0" w:space="0" w:color="auto"/>
        <w:left w:val="none" w:sz="0" w:space="0" w:color="auto"/>
        <w:bottom w:val="none" w:sz="0" w:space="0" w:color="auto"/>
        <w:right w:val="none" w:sz="0" w:space="0" w:color="auto"/>
      </w:divBdr>
    </w:div>
    <w:div w:id="885528135">
      <w:bodyDiv w:val="1"/>
      <w:marLeft w:val="0"/>
      <w:marRight w:val="0"/>
      <w:marTop w:val="0"/>
      <w:marBottom w:val="0"/>
      <w:divBdr>
        <w:top w:val="none" w:sz="0" w:space="0" w:color="auto"/>
        <w:left w:val="none" w:sz="0" w:space="0" w:color="auto"/>
        <w:bottom w:val="none" w:sz="0" w:space="0" w:color="auto"/>
        <w:right w:val="none" w:sz="0" w:space="0" w:color="auto"/>
      </w:divBdr>
    </w:div>
    <w:div w:id="944583396">
      <w:bodyDiv w:val="1"/>
      <w:marLeft w:val="0"/>
      <w:marRight w:val="0"/>
      <w:marTop w:val="0"/>
      <w:marBottom w:val="0"/>
      <w:divBdr>
        <w:top w:val="none" w:sz="0" w:space="0" w:color="auto"/>
        <w:left w:val="none" w:sz="0" w:space="0" w:color="auto"/>
        <w:bottom w:val="none" w:sz="0" w:space="0" w:color="auto"/>
        <w:right w:val="none" w:sz="0" w:space="0" w:color="auto"/>
      </w:divBdr>
    </w:div>
    <w:div w:id="958997966">
      <w:bodyDiv w:val="1"/>
      <w:marLeft w:val="0"/>
      <w:marRight w:val="0"/>
      <w:marTop w:val="0"/>
      <w:marBottom w:val="0"/>
      <w:divBdr>
        <w:top w:val="none" w:sz="0" w:space="0" w:color="auto"/>
        <w:left w:val="none" w:sz="0" w:space="0" w:color="auto"/>
        <w:bottom w:val="none" w:sz="0" w:space="0" w:color="auto"/>
        <w:right w:val="none" w:sz="0" w:space="0" w:color="auto"/>
      </w:divBdr>
    </w:div>
    <w:div w:id="969095504">
      <w:bodyDiv w:val="1"/>
      <w:marLeft w:val="0"/>
      <w:marRight w:val="0"/>
      <w:marTop w:val="0"/>
      <w:marBottom w:val="0"/>
      <w:divBdr>
        <w:top w:val="none" w:sz="0" w:space="0" w:color="auto"/>
        <w:left w:val="none" w:sz="0" w:space="0" w:color="auto"/>
        <w:bottom w:val="none" w:sz="0" w:space="0" w:color="auto"/>
        <w:right w:val="none" w:sz="0" w:space="0" w:color="auto"/>
      </w:divBdr>
    </w:div>
    <w:div w:id="1006589610">
      <w:bodyDiv w:val="1"/>
      <w:marLeft w:val="0"/>
      <w:marRight w:val="0"/>
      <w:marTop w:val="0"/>
      <w:marBottom w:val="0"/>
      <w:divBdr>
        <w:top w:val="none" w:sz="0" w:space="0" w:color="auto"/>
        <w:left w:val="none" w:sz="0" w:space="0" w:color="auto"/>
        <w:bottom w:val="none" w:sz="0" w:space="0" w:color="auto"/>
        <w:right w:val="none" w:sz="0" w:space="0" w:color="auto"/>
      </w:divBdr>
    </w:div>
    <w:div w:id="1041397171">
      <w:bodyDiv w:val="1"/>
      <w:marLeft w:val="0"/>
      <w:marRight w:val="0"/>
      <w:marTop w:val="0"/>
      <w:marBottom w:val="0"/>
      <w:divBdr>
        <w:top w:val="none" w:sz="0" w:space="0" w:color="auto"/>
        <w:left w:val="none" w:sz="0" w:space="0" w:color="auto"/>
        <w:bottom w:val="none" w:sz="0" w:space="0" w:color="auto"/>
        <w:right w:val="none" w:sz="0" w:space="0" w:color="auto"/>
      </w:divBdr>
    </w:div>
    <w:div w:id="1062564459">
      <w:bodyDiv w:val="1"/>
      <w:marLeft w:val="0"/>
      <w:marRight w:val="0"/>
      <w:marTop w:val="0"/>
      <w:marBottom w:val="0"/>
      <w:divBdr>
        <w:top w:val="none" w:sz="0" w:space="0" w:color="auto"/>
        <w:left w:val="none" w:sz="0" w:space="0" w:color="auto"/>
        <w:bottom w:val="none" w:sz="0" w:space="0" w:color="auto"/>
        <w:right w:val="none" w:sz="0" w:space="0" w:color="auto"/>
      </w:divBdr>
    </w:div>
    <w:div w:id="1135680379">
      <w:bodyDiv w:val="1"/>
      <w:marLeft w:val="0"/>
      <w:marRight w:val="0"/>
      <w:marTop w:val="0"/>
      <w:marBottom w:val="0"/>
      <w:divBdr>
        <w:top w:val="none" w:sz="0" w:space="0" w:color="auto"/>
        <w:left w:val="none" w:sz="0" w:space="0" w:color="auto"/>
        <w:bottom w:val="none" w:sz="0" w:space="0" w:color="auto"/>
        <w:right w:val="none" w:sz="0" w:space="0" w:color="auto"/>
      </w:divBdr>
    </w:div>
    <w:div w:id="1165051702">
      <w:bodyDiv w:val="1"/>
      <w:marLeft w:val="0"/>
      <w:marRight w:val="0"/>
      <w:marTop w:val="0"/>
      <w:marBottom w:val="0"/>
      <w:divBdr>
        <w:top w:val="none" w:sz="0" w:space="0" w:color="auto"/>
        <w:left w:val="none" w:sz="0" w:space="0" w:color="auto"/>
        <w:bottom w:val="none" w:sz="0" w:space="0" w:color="auto"/>
        <w:right w:val="none" w:sz="0" w:space="0" w:color="auto"/>
      </w:divBdr>
    </w:div>
    <w:div w:id="1205630199">
      <w:bodyDiv w:val="1"/>
      <w:marLeft w:val="0"/>
      <w:marRight w:val="0"/>
      <w:marTop w:val="0"/>
      <w:marBottom w:val="0"/>
      <w:divBdr>
        <w:top w:val="none" w:sz="0" w:space="0" w:color="auto"/>
        <w:left w:val="none" w:sz="0" w:space="0" w:color="auto"/>
        <w:bottom w:val="none" w:sz="0" w:space="0" w:color="auto"/>
        <w:right w:val="none" w:sz="0" w:space="0" w:color="auto"/>
      </w:divBdr>
    </w:div>
    <w:div w:id="1288897193">
      <w:bodyDiv w:val="1"/>
      <w:marLeft w:val="0"/>
      <w:marRight w:val="0"/>
      <w:marTop w:val="0"/>
      <w:marBottom w:val="0"/>
      <w:divBdr>
        <w:top w:val="none" w:sz="0" w:space="0" w:color="auto"/>
        <w:left w:val="none" w:sz="0" w:space="0" w:color="auto"/>
        <w:bottom w:val="none" w:sz="0" w:space="0" w:color="auto"/>
        <w:right w:val="none" w:sz="0" w:space="0" w:color="auto"/>
      </w:divBdr>
    </w:div>
    <w:div w:id="1290091795">
      <w:bodyDiv w:val="1"/>
      <w:marLeft w:val="0"/>
      <w:marRight w:val="0"/>
      <w:marTop w:val="0"/>
      <w:marBottom w:val="0"/>
      <w:divBdr>
        <w:top w:val="none" w:sz="0" w:space="0" w:color="auto"/>
        <w:left w:val="none" w:sz="0" w:space="0" w:color="auto"/>
        <w:bottom w:val="none" w:sz="0" w:space="0" w:color="auto"/>
        <w:right w:val="none" w:sz="0" w:space="0" w:color="auto"/>
      </w:divBdr>
    </w:div>
    <w:div w:id="1320616960">
      <w:bodyDiv w:val="1"/>
      <w:marLeft w:val="0"/>
      <w:marRight w:val="0"/>
      <w:marTop w:val="0"/>
      <w:marBottom w:val="0"/>
      <w:divBdr>
        <w:top w:val="none" w:sz="0" w:space="0" w:color="auto"/>
        <w:left w:val="none" w:sz="0" w:space="0" w:color="auto"/>
        <w:bottom w:val="none" w:sz="0" w:space="0" w:color="auto"/>
        <w:right w:val="none" w:sz="0" w:space="0" w:color="auto"/>
      </w:divBdr>
    </w:div>
    <w:div w:id="1323855393">
      <w:bodyDiv w:val="1"/>
      <w:marLeft w:val="0"/>
      <w:marRight w:val="0"/>
      <w:marTop w:val="0"/>
      <w:marBottom w:val="0"/>
      <w:divBdr>
        <w:top w:val="none" w:sz="0" w:space="0" w:color="auto"/>
        <w:left w:val="none" w:sz="0" w:space="0" w:color="auto"/>
        <w:bottom w:val="none" w:sz="0" w:space="0" w:color="auto"/>
        <w:right w:val="none" w:sz="0" w:space="0" w:color="auto"/>
      </w:divBdr>
    </w:div>
    <w:div w:id="1332948888">
      <w:bodyDiv w:val="1"/>
      <w:marLeft w:val="0"/>
      <w:marRight w:val="0"/>
      <w:marTop w:val="0"/>
      <w:marBottom w:val="0"/>
      <w:divBdr>
        <w:top w:val="none" w:sz="0" w:space="0" w:color="auto"/>
        <w:left w:val="none" w:sz="0" w:space="0" w:color="auto"/>
        <w:bottom w:val="none" w:sz="0" w:space="0" w:color="auto"/>
        <w:right w:val="none" w:sz="0" w:space="0" w:color="auto"/>
      </w:divBdr>
    </w:div>
    <w:div w:id="1347443566">
      <w:bodyDiv w:val="1"/>
      <w:marLeft w:val="0"/>
      <w:marRight w:val="0"/>
      <w:marTop w:val="0"/>
      <w:marBottom w:val="0"/>
      <w:divBdr>
        <w:top w:val="none" w:sz="0" w:space="0" w:color="auto"/>
        <w:left w:val="none" w:sz="0" w:space="0" w:color="auto"/>
        <w:bottom w:val="none" w:sz="0" w:space="0" w:color="auto"/>
        <w:right w:val="none" w:sz="0" w:space="0" w:color="auto"/>
      </w:divBdr>
    </w:div>
    <w:div w:id="1369062277">
      <w:bodyDiv w:val="1"/>
      <w:marLeft w:val="0"/>
      <w:marRight w:val="0"/>
      <w:marTop w:val="0"/>
      <w:marBottom w:val="0"/>
      <w:divBdr>
        <w:top w:val="none" w:sz="0" w:space="0" w:color="auto"/>
        <w:left w:val="none" w:sz="0" w:space="0" w:color="auto"/>
        <w:bottom w:val="none" w:sz="0" w:space="0" w:color="auto"/>
        <w:right w:val="none" w:sz="0" w:space="0" w:color="auto"/>
      </w:divBdr>
    </w:div>
    <w:div w:id="1412196043">
      <w:bodyDiv w:val="1"/>
      <w:marLeft w:val="0"/>
      <w:marRight w:val="0"/>
      <w:marTop w:val="0"/>
      <w:marBottom w:val="0"/>
      <w:divBdr>
        <w:top w:val="none" w:sz="0" w:space="0" w:color="auto"/>
        <w:left w:val="none" w:sz="0" w:space="0" w:color="auto"/>
        <w:bottom w:val="none" w:sz="0" w:space="0" w:color="auto"/>
        <w:right w:val="none" w:sz="0" w:space="0" w:color="auto"/>
      </w:divBdr>
    </w:div>
    <w:div w:id="1424035961">
      <w:bodyDiv w:val="1"/>
      <w:marLeft w:val="0"/>
      <w:marRight w:val="0"/>
      <w:marTop w:val="0"/>
      <w:marBottom w:val="0"/>
      <w:divBdr>
        <w:top w:val="none" w:sz="0" w:space="0" w:color="auto"/>
        <w:left w:val="none" w:sz="0" w:space="0" w:color="auto"/>
        <w:bottom w:val="none" w:sz="0" w:space="0" w:color="auto"/>
        <w:right w:val="none" w:sz="0" w:space="0" w:color="auto"/>
      </w:divBdr>
    </w:div>
    <w:div w:id="1438208811">
      <w:bodyDiv w:val="1"/>
      <w:marLeft w:val="0"/>
      <w:marRight w:val="0"/>
      <w:marTop w:val="0"/>
      <w:marBottom w:val="0"/>
      <w:divBdr>
        <w:top w:val="none" w:sz="0" w:space="0" w:color="auto"/>
        <w:left w:val="none" w:sz="0" w:space="0" w:color="auto"/>
        <w:bottom w:val="none" w:sz="0" w:space="0" w:color="auto"/>
        <w:right w:val="none" w:sz="0" w:space="0" w:color="auto"/>
      </w:divBdr>
    </w:div>
    <w:div w:id="1504279254">
      <w:bodyDiv w:val="1"/>
      <w:marLeft w:val="0"/>
      <w:marRight w:val="0"/>
      <w:marTop w:val="0"/>
      <w:marBottom w:val="0"/>
      <w:divBdr>
        <w:top w:val="none" w:sz="0" w:space="0" w:color="auto"/>
        <w:left w:val="none" w:sz="0" w:space="0" w:color="auto"/>
        <w:bottom w:val="none" w:sz="0" w:space="0" w:color="auto"/>
        <w:right w:val="none" w:sz="0" w:space="0" w:color="auto"/>
      </w:divBdr>
    </w:div>
    <w:div w:id="1578326448">
      <w:bodyDiv w:val="1"/>
      <w:marLeft w:val="0"/>
      <w:marRight w:val="0"/>
      <w:marTop w:val="0"/>
      <w:marBottom w:val="0"/>
      <w:divBdr>
        <w:top w:val="none" w:sz="0" w:space="0" w:color="auto"/>
        <w:left w:val="none" w:sz="0" w:space="0" w:color="auto"/>
        <w:bottom w:val="none" w:sz="0" w:space="0" w:color="auto"/>
        <w:right w:val="none" w:sz="0" w:space="0" w:color="auto"/>
      </w:divBdr>
    </w:div>
    <w:div w:id="1617061769">
      <w:bodyDiv w:val="1"/>
      <w:marLeft w:val="0"/>
      <w:marRight w:val="0"/>
      <w:marTop w:val="0"/>
      <w:marBottom w:val="0"/>
      <w:divBdr>
        <w:top w:val="none" w:sz="0" w:space="0" w:color="auto"/>
        <w:left w:val="none" w:sz="0" w:space="0" w:color="auto"/>
        <w:bottom w:val="none" w:sz="0" w:space="0" w:color="auto"/>
        <w:right w:val="none" w:sz="0" w:space="0" w:color="auto"/>
      </w:divBdr>
    </w:div>
    <w:div w:id="1663661158">
      <w:bodyDiv w:val="1"/>
      <w:marLeft w:val="0"/>
      <w:marRight w:val="0"/>
      <w:marTop w:val="0"/>
      <w:marBottom w:val="0"/>
      <w:divBdr>
        <w:top w:val="none" w:sz="0" w:space="0" w:color="auto"/>
        <w:left w:val="none" w:sz="0" w:space="0" w:color="auto"/>
        <w:bottom w:val="none" w:sz="0" w:space="0" w:color="auto"/>
        <w:right w:val="none" w:sz="0" w:space="0" w:color="auto"/>
      </w:divBdr>
    </w:div>
    <w:div w:id="1702167193">
      <w:bodyDiv w:val="1"/>
      <w:marLeft w:val="0"/>
      <w:marRight w:val="0"/>
      <w:marTop w:val="0"/>
      <w:marBottom w:val="0"/>
      <w:divBdr>
        <w:top w:val="none" w:sz="0" w:space="0" w:color="auto"/>
        <w:left w:val="none" w:sz="0" w:space="0" w:color="auto"/>
        <w:bottom w:val="none" w:sz="0" w:space="0" w:color="auto"/>
        <w:right w:val="none" w:sz="0" w:space="0" w:color="auto"/>
      </w:divBdr>
    </w:div>
    <w:div w:id="1714772270">
      <w:bodyDiv w:val="1"/>
      <w:marLeft w:val="0"/>
      <w:marRight w:val="0"/>
      <w:marTop w:val="0"/>
      <w:marBottom w:val="0"/>
      <w:divBdr>
        <w:top w:val="none" w:sz="0" w:space="0" w:color="auto"/>
        <w:left w:val="none" w:sz="0" w:space="0" w:color="auto"/>
        <w:bottom w:val="none" w:sz="0" w:space="0" w:color="auto"/>
        <w:right w:val="none" w:sz="0" w:space="0" w:color="auto"/>
      </w:divBdr>
    </w:div>
    <w:div w:id="1744257968">
      <w:bodyDiv w:val="1"/>
      <w:marLeft w:val="0"/>
      <w:marRight w:val="0"/>
      <w:marTop w:val="0"/>
      <w:marBottom w:val="0"/>
      <w:divBdr>
        <w:top w:val="none" w:sz="0" w:space="0" w:color="auto"/>
        <w:left w:val="none" w:sz="0" w:space="0" w:color="auto"/>
        <w:bottom w:val="none" w:sz="0" w:space="0" w:color="auto"/>
        <w:right w:val="none" w:sz="0" w:space="0" w:color="auto"/>
      </w:divBdr>
    </w:div>
    <w:div w:id="1777477742">
      <w:bodyDiv w:val="1"/>
      <w:marLeft w:val="0"/>
      <w:marRight w:val="0"/>
      <w:marTop w:val="0"/>
      <w:marBottom w:val="0"/>
      <w:divBdr>
        <w:top w:val="none" w:sz="0" w:space="0" w:color="auto"/>
        <w:left w:val="none" w:sz="0" w:space="0" w:color="auto"/>
        <w:bottom w:val="none" w:sz="0" w:space="0" w:color="auto"/>
        <w:right w:val="none" w:sz="0" w:space="0" w:color="auto"/>
      </w:divBdr>
    </w:div>
    <w:div w:id="1882017218">
      <w:bodyDiv w:val="1"/>
      <w:marLeft w:val="0"/>
      <w:marRight w:val="0"/>
      <w:marTop w:val="0"/>
      <w:marBottom w:val="0"/>
      <w:divBdr>
        <w:top w:val="none" w:sz="0" w:space="0" w:color="auto"/>
        <w:left w:val="none" w:sz="0" w:space="0" w:color="auto"/>
        <w:bottom w:val="none" w:sz="0" w:space="0" w:color="auto"/>
        <w:right w:val="none" w:sz="0" w:space="0" w:color="auto"/>
      </w:divBdr>
    </w:div>
    <w:div w:id="1886746466">
      <w:bodyDiv w:val="1"/>
      <w:marLeft w:val="0"/>
      <w:marRight w:val="0"/>
      <w:marTop w:val="0"/>
      <w:marBottom w:val="0"/>
      <w:divBdr>
        <w:top w:val="none" w:sz="0" w:space="0" w:color="auto"/>
        <w:left w:val="none" w:sz="0" w:space="0" w:color="auto"/>
        <w:bottom w:val="none" w:sz="0" w:space="0" w:color="auto"/>
        <w:right w:val="none" w:sz="0" w:space="0" w:color="auto"/>
      </w:divBdr>
    </w:div>
    <w:div w:id="1912424895">
      <w:bodyDiv w:val="1"/>
      <w:marLeft w:val="0"/>
      <w:marRight w:val="0"/>
      <w:marTop w:val="0"/>
      <w:marBottom w:val="0"/>
      <w:divBdr>
        <w:top w:val="none" w:sz="0" w:space="0" w:color="auto"/>
        <w:left w:val="none" w:sz="0" w:space="0" w:color="auto"/>
        <w:bottom w:val="none" w:sz="0" w:space="0" w:color="auto"/>
        <w:right w:val="none" w:sz="0" w:space="0" w:color="auto"/>
      </w:divBdr>
    </w:div>
    <w:div w:id="2036272496">
      <w:bodyDiv w:val="1"/>
      <w:marLeft w:val="0"/>
      <w:marRight w:val="0"/>
      <w:marTop w:val="0"/>
      <w:marBottom w:val="0"/>
      <w:divBdr>
        <w:top w:val="none" w:sz="0" w:space="0" w:color="auto"/>
        <w:left w:val="none" w:sz="0" w:space="0" w:color="auto"/>
        <w:bottom w:val="none" w:sz="0" w:space="0" w:color="auto"/>
        <w:right w:val="none" w:sz="0" w:space="0" w:color="auto"/>
      </w:divBdr>
    </w:div>
    <w:div w:id="2051415677">
      <w:bodyDiv w:val="1"/>
      <w:marLeft w:val="0"/>
      <w:marRight w:val="0"/>
      <w:marTop w:val="0"/>
      <w:marBottom w:val="0"/>
      <w:divBdr>
        <w:top w:val="none" w:sz="0" w:space="0" w:color="auto"/>
        <w:left w:val="none" w:sz="0" w:space="0" w:color="auto"/>
        <w:bottom w:val="none" w:sz="0" w:space="0" w:color="auto"/>
        <w:right w:val="none" w:sz="0" w:space="0" w:color="auto"/>
      </w:divBdr>
    </w:div>
    <w:div w:id="21461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a.com.ph/General%20Information%20Sheet.pdf" TargetMode="External"/><Relationship Id="rId13" Type="http://schemas.openxmlformats.org/officeDocument/2006/relationships/hyperlink" Target="http://www.maa.com.ph/010602-risk.php" TargetMode="External"/><Relationship Id="rId18" Type="http://schemas.openxmlformats.org/officeDocument/2006/relationships/hyperlink" Target="http://www.maa.com.ph/Code%20of%20Business%20Conduct%20and%20Ethics.pdf" TargetMode="External"/><Relationship Id="rId26" Type="http://schemas.openxmlformats.org/officeDocument/2006/relationships/hyperlink" Target="http://www.maa.com.ph/AFS.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aa.com.ph/Board%20Meetings%20in%202014.docx" TargetMode="External"/><Relationship Id="rId34" Type="http://schemas.openxmlformats.org/officeDocument/2006/relationships/hyperlink" Target="http://www.maa.com.ph/Corporate%20Profile%2012%20September%202014.pdf" TargetMode="External"/><Relationship Id="rId7" Type="http://schemas.openxmlformats.org/officeDocument/2006/relationships/endnotes" Target="endnotes.xml"/><Relationship Id="rId12" Type="http://schemas.openxmlformats.org/officeDocument/2006/relationships/hyperlink" Target="http://www.maa.com.ph/General%20Information%20Sheet.pdf" TargetMode="External"/><Relationship Id="rId17" Type="http://schemas.openxmlformats.org/officeDocument/2006/relationships/hyperlink" Target="http://www.maa.com.ph/By-Laws.pdf" TargetMode="External"/><Relationship Id="rId25" Type="http://schemas.openxmlformats.org/officeDocument/2006/relationships/hyperlink" Target="http://www.maa.com.ph/AFS.pdf" TargetMode="External"/><Relationship Id="rId33" Type="http://schemas.openxmlformats.org/officeDocument/2006/relationships/hyperlink" Target="http://www.maa.com.ph/0104-senior.php" TargetMode="External"/><Relationship Id="rId38" Type="http://schemas.openxmlformats.org/officeDocument/2006/relationships/hyperlink" Target="http://www.maa.com.ph/Articles%20of%20Incorporation.pdf" TargetMode="External"/><Relationship Id="rId2" Type="http://schemas.openxmlformats.org/officeDocument/2006/relationships/numbering" Target="numbering.xml"/><Relationship Id="rId16" Type="http://schemas.openxmlformats.org/officeDocument/2006/relationships/hyperlink" Target="http://www.maa.com.ph/AFS.pdf" TargetMode="External"/><Relationship Id="rId20" Type="http://schemas.openxmlformats.org/officeDocument/2006/relationships/hyperlink" Target="http://www.maa.com.ph/0103-board.php" TargetMode="External"/><Relationship Id="rId29" Type="http://schemas.openxmlformats.org/officeDocument/2006/relationships/hyperlink" Target="http://www.maa.com.ph/AF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com.ph/General%20Information%20Sheet.pdf" TargetMode="External"/><Relationship Id="rId24" Type="http://schemas.openxmlformats.org/officeDocument/2006/relationships/hyperlink" Target="http://www.maa.com.ph/TOF-%20Audit%20Committee.pdf" TargetMode="External"/><Relationship Id="rId32" Type="http://schemas.openxmlformats.org/officeDocument/2006/relationships/hyperlink" Target="http://www.maa.com.ph/0103-board.php" TargetMode="External"/><Relationship Id="rId37" Type="http://schemas.openxmlformats.org/officeDocument/2006/relationships/hyperlink" Target="http://www.maa.com.ph/By-Laws.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a.com.ph/AFS.pdf" TargetMode="External"/><Relationship Id="rId23" Type="http://schemas.openxmlformats.org/officeDocument/2006/relationships/hyperlink" Target="http://www.maa.com.ph/Manual%20on%20Corporate%20Governance.pdf" TargetMode="External"/><Relationship Id="rId28" Type="http://schemas.openxmlformats.org/officeDocument/2006/relationships/hyperlink" Target="http://www.maa.com.ph/AFS.pdf" TargetMode="External"/><Relationship Id="rId36" Type="http://schemas.openxmlformats.org/officeDocument/2006/relationships/hyperlink" Target="http://www.maa.com.ph/010603-share.php" TargetMode="External"/><Relationship Id="rId10" Type="http://schemas.openxmlformats.org/officeDocument/2006/relationships/hyperlink" Target="http://www.maa.com.ph/General%20Information%20Sheet.pdf" TargetMode="External"/><Relationship Id="rId19" Type="http://schemas.openxmlformats.org/officeDocument/2006/relationships/hyperlink" Target="http://www.maa.com.ph/0103-board.php" TargetMode="External"/><Relationship Id="rId31" Type="http://schemas.openxmlformats.org/officeDocument/2006/relationships/hyperlink" Target="http://www.maa.com.ph/AFS.pdf" TargetMode="External"/><Relationship Id="rId4" Type="http://schemas.openxmlformats.org/officeDocument/2006/relationships/settings" Target="settings.xml"/><Relationship Id="rId9" Type="http://schemas.openxmlformats.org/officeDocument/2006/relationships/hyperlink" Target="http://www.maa.com.ph/General%20Information%20Sheet.pdf" TargetMode="External"/><Relationship Id="rId14" Type="http://schemas.openxmlformats.org/officeDocument/2006/relationships/hyperlink" Target="http://www.maa.com.ph/0102-mission.php" TargetMode="External"/><Relationship Id="rId22" Type="http://schemas.openxmlformats.org/officeDocument/2006/relationships/hyperlink" Target="http://www.maa.com.ph/Board%20Meetings%20in%202014.docx" TargetMode="External"/><Relationship Id="rId27" Type="http://schemas.openxmlformats.org/officeDocument/2006/relationships/hyperlink" Target="http://www.maa.com.ph/0701-contact.php" TargetMode="External"/><Relationship Id="rId30" Type="http://schemas.openxmlformats.org/officeDocument/2006/relationships/hyperlink" Target="http://www.maa.com.ph/0201-fir.php" TargetMode="External"/><Relationship Id="rId35" Type="http://schemas.openxmlformats.org/officeDocument/2006/relationships/hyperlink" Target="http://www.maa.com.ph/010603-shar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9DFA-D3C4-44CA-BE60-0225859F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somar</dc:creator>
  <cp:lastModifiedBy>Roms</cp:lastModifiedBy>
  <cp:revision>4</cp:revision>
  <cp:lastPrinted>2015-06-10T05:19:00Z</cp:lastPrinted>
  <dcterms:created xsi:type="dcterms:W3CDTF">2015-06-15T08:08:00Z</dcterms:created>
  <dcterms:modified xsi:type="dcterms:W3CDTF">2015-06-15T08:08:00Z</dcterms:modified>
</cp:coreProperties>
</file>